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4E79"/>
          <w:sz w:val="60"/>
          <w:szCs w:val="60"/>
        </w:rPr>
        <w:t xml:space="preserve">SHIELD-ID</w:t>
      </w:r>
    </w:p>
    <w:p>
      <w:pPr>
        <w:spacing w:after="40" w:before="0"/>
        <w:jc w:val="center"/>
      </w:pPr>
      <w:r>
        <w:rPr>
          <w:rFonts w:ascii="Arial" w:cs="Arial" w:eastAsia="Arial" w:hAnsi="Arial"/>
          <w:b w:val="false"/>
          <w:bCs w:val="false"/>
          <w:color w:val="2E75B6"/>
          <w:sz w:val="28"/>
          <w:szCs w:val="28"/>
        </w:rPr>
        <w:t xml:space="preserve">Shock &amp; Hazard Index for Economic Livelihood Diagnostics</w:t>
      </w:r>
    </w:p>
    <w:p>
      <w:pPr>
        <w:spacing w:after="60" w:before="0"/>
        <w:jc w:val="center"/>
      </w:pPr>
      <w:r>
        <w:rPr>
          <w:rFonts w:ascii="Arial" w:cs="Arial" w:eastAsia="Arial" w:hAnsi="Arial"/>
          <w:i/>
          <w:iCs/>
          <w:color w:val="2E75B6"/>
          <w:sz w:val="28"/>
          <w:szCs w:val="28"/>
        </w:rPr>
        <w:t xml:space="preserve">Indonesia</w:t>
      </w:r>
    </w:p>
    <w:p>
      <w:pPr>
        <w:spacing w:after="400" w:before="0"/>
        <w:jc w:val="center"/>
      </w:pPr>
      <w:r>
        <w:rPr>
          <w:rFonts w:ascii="Arial" w:cs="Arial" w:eastAsia="Arial" w:hAnsi="Arial"/>
          <w:i/>
          <w:iCs/>
          <w:color w:val="808080"/>
          <w:sz w:val="22"/>
          <w:szCs w:val="22"/>
        </w:rPr>
        <w:t xml:space="preserve">Project Brief  —  Datathon METC 2026</w:t>
      </w:r>
    </w:p>
    <w:p>
      <w:pPr>
        <w:pBdr>
          <w:bottom w:val="single" w:color="2E75B6" w:sz="6" w:space="4"/>
        </w:pBdr>
        <w:spacing w:after="120" w:before="0"/>
      </w:pPr>
      <w:r>
        <w:rPr>
          <w:rFonts w:ascii="Arial" w:cs="Arial" w:eastAsia="Arial" w:hAnsi="Arial"/>
          <w:b/>
          <w:bCs/>
          <w:color w:val="1F4E79"/>
          <w:sz w:val="26"/>
          <w:szCs w:val="26"/>
        </w:rPr>
        <w:t xml:space="preserve">Informasi Peserta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113"/>
        <w:gridCol w:w="4113"/>
      </w:tblGrid>
      <w:tr>
        <w:trPr>
          <w:tblHeader/>
        </w:trPr>
        <w:tc>
          <w:tcPr>
            <w:tcW w:type="dxa" w:w="8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2"/>
                <w:szCs w:val="22"/>
              </w:rPr>
              <w:t xml:space="preserve">No</w:t>
            </w:r>
          </w:p>
        </w:tc>
        <w:tc>
          <w:tcPr>
            <w:tcW w:type="dxa" w:w="4113"/>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2"/>
                <w:szCs w:val="22"/>
              </w:rPr>
              <w:t xml:space="preserve">Nama</w:t>
            </w:r>
          </w:p>
        </w:tc>
        <w:tc>
          <w:tcPr>
            <w:tcW w:type="dxa" w:w="4113"/>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2"/>
                <w:szCs w:val="22"/>
              </w:rPr>
              <w:t xml:space="preserve">Email Dicoding</w:t>
            </w:r>
          </w:p>
        </w:tc>
      </w:tr>
      <w:tr>
        <w:tc>
          <w:tcPr>
            <w:tcW w:type="dxa" w:w="8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Arial" w:cs="Arial" w:eastAsia="Arial" w:hAnsi="Arial"/>
                <w:sz w:val="22"/>
                <w:szCs w:val="22"/>
              </w:rPr>
              <w:t xml:space="preserve">1</w:t>
            </w:r>
          </w:p>
        </w:tc>
        <w:tc>
          <w:tcPr>
            <w:tcW w:type="dxa" w:w="4113"/>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Arial" w:cs="Arial" w:eastAsia="Arial" w:hAnsi="Arial"/>
                <w:sz w:val="22"/>
                <w:szCs w:val="22"/>
              </w:rPr>
              <w:t xml:space="preserve"/>
            </w:r>
          </w:p>
        </w:tc>
        <w:tc>
          <w:tcPr>
            <w:tcW w:type="dxa" w:w="4113"/>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Arial" w:cs="Arial" w:eastAsia="Arial" w:hAnsi="Arial"/>
                <w:sz w:val="22"/>
                <w:szCs w:val="22"/>
              </w:rPr>
              <w:t xml:space="preserve"/>
            </w:r>
          </w:p>
        </w:tc>
      </w:tr>
      <w:tr>
        <w:tc>
          <w:tcPr>
            <w:tcW w:type="dxa" w:w="800"/>
            <w:tcBorders>
              <w:top w:val="single" w:color="BFBFBF" w:sz="1"/>
              <w:left w:val="single" w:color="BFBFBF" w:sz="1"/>
              <w:bottom w:val="single" w:color="BFBFBF" w:sz="1"/>
              <w:right w:val="single" w:color="BFBFBF" w:sz="1"/>
            </w:tcBorders>
            <w:shd w:fill="F2F7FC" w:val="clear"/>
            <w:tcMar>
              <w:top w:type="dxa" w:w="80"/>
              <w:left w:type="dxa" w:w="140"/>
              <w:bottom w:type="dxa" w:w="80"/>
              <w:right w:type="dxa" w:w="140"/>
            </w:tcMar>
          </w:tcPr>
          <w:p>
            <w:r>
              <w:rPr>
                <w:rFonts w:ascii="Arial" w:cs="Arial" w:eastAsia="Arial" w:hAnsi="Arial"/>
                <w:sz w:val="22"/>
                <w:szCs w:val="22"/>
              </w:rPr>
              <w:t xml:space="preserve">2</w:t>
            </w:r>
          </w:p>
        </w:tc>
        <w:tc>
          <w:tcPr>
            <w:tcW w:type="dxa" w:w="4113"/>
            <w:tcBorders>
              <w:top w:val="single" w:color="BFBFBF" w:sz="1"/>
              <w:left w:val="single" w:color="BFBFBF" w:sz="1"/>
              <w:bottom w:val="single" w:color="BFBFBF" w:sz="1"/>
              <w:right w:val="single" w:color="BFBFBF" w:sz="1"/>
            </w:tcBorders>
            <w:shd w:fill="F2F7FC" w:val="clear"/>
            <w:tcMar>
              <w:top w:type="dxa" w:w="80"/>
              <w:left w:type="dxa" w:w="140"/>
              <w:bottom w:type="dxa" w:w="80"/>
              <w:right w:type="dxa" w:w="140"/>
            </w:tcMar>
          </w:tcPr>
          <w:p>
            <w:r>
              <w:rPr>
                <w:rFonts w:ascii="Arial" w:cs="Arial" w:eastAsia="Arial" w:hAnsi="Arial"/>
                <w:sz w:val="22"/>
                <w:szCs w:val="22"/>
              </w:rPr>
              <w:t xml:space="preserve"/>
            </w:r>
          </w:p>
        </w:tc>
        <w:tc>
          <w:tcPr>
            <w:tcW w:type="dxa" w:w="4113"/>
            <w:tcBorders>
              <w:top w:val="single" w:color="BFBFBF" w:sz="1"/>
              <w:left w:val="single" w:color="BFBFBF" w:sz="1"/>
              <w:bottom w:val="single" w:color="BFBFBF" w:sz="1"/>
              <w:right w:val="single" w:color="BFBFBF" w:sz="1"/>
            </w:tcBorders>
            <w:shd w:fill="F2F7FC" w:val="clear"/>
            <w:tcMar>
              <w:top w:type="dxa" w:w="80"/>
              <w:left w:type="dxa" w:w="140"/>
              <w:bottom w:type="dxa" w:w="80"/>
              <w:right w:type="dxa" w:w="140"/>
            </w:tcMar>
          </w:tcPr>
          <w:p>
            <w:r>
              <w:rPr>
                <w:rFonts w:ascii="Arial" w:cs="Arial" w:eastAsia="Arial" w:hAnsi="Arial"/>
                <w:sz w:val="22"/>
                <w:szCs w:val="22"/>
              </w:rPr>
              <w:t xml:space="preserve"/>
            </w:r>
          </w:p>
        </w:tc>
      </w:tr>
      <w:tr>
        <w:tc>
          <w:tcPr>
            <w:tcW w:type="dxa" w:w="8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Arial" w:cs="Arial" w:eastAsia="Arial" w:hAnsi="Arial"/>
                <w:sz w:val="22"/>
                <w:szCs w:val="22"/>
              </w:rPr>
              <w:t xml:space="preserve">3</w:t>
            </w:r>
          </w:p>
        </w:tc>
        <w:tc>
          <w:tcPr>
            <w:tcW w:type="dxa" w:w="4113"/>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Arial" w:cs="Arial" w:eastAsia="Arial" w:hAnsi="Arial"/>
                <w:sz w:val="22"/>
                <w:szCs w:val="22"/>
              </w:rPr>
              <w:t xml:space="preserve"/>
            </w:r>
          </w:p>
        </w:tc>
        <w:tc>
          <w:tcPr>
            <w:tcW w:type="dxa" w:w="4113"/>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Arial" w:cs="Arial" w:eastAsia="Arial" w:hAnsi="Arial"/>
                <w:sz w:val="22"/>
                <w:szCs w:val="22"/>
              </w:rPr>
              <w:t xml:space="preserve"/>
            </w:r>
          </w:p>
        </w:tc>
      </w:tr>
    </w:tbl>
    <w:p>
      <w:pPr>
        <w:pBdr>
          <w:left w:val="single" w:color="2E75B6" w:sz="14" w:space="8"/>
        </w:pBdr>
        <w:spacing w:after="100" w:before="280"/>
        <w:ind w:left="240"/>
      </w:pPr>
      <w:r>
        <w:rPr>
          <w:rFonts w:ascii="Arial" w:cs="Arial" w:eastAsia="Arial" w:hAnsi="Arial"/>
          <w:b/>
          <w:bCs/>
          <w:sz w:val="22"/>
          <w:szCs w:val="22"/>
        </w:rPr>
        <w:t xml:space="preserve">Topik : </w:t>
      </w:r>
      <w:r>
        <w:rPr>
          <w:rFonts w:ascii="Arial" w:cs="Arial" w:eastAsia="Arial" w:hAnsi="Arial"/>
          <w:sz w:val="22"/>
          <w:szCs w:val="22"/>
        </w:rPr>
        <w:t xml:space="preserve">Ekonomi Digital &amp; Inklusi Keuangan</w:t>
      </w:r>
    </w:p>
    <w:p>
      <w:pPr>
        <w:pBdr>
          <w:bottom w:val="single" w:color="2E75B6" w:sz="6" w:space="4"/>
        </w:pBdr>
        <w:spacing w:after="140" w:before="300"/>
      </w:pPr>
      <w:r>
        <w:rPr>
          <w:rFonts w:ascii="Arial" w:cs="Arial" w:eastAsia="Arial" w:hAnsi="Arial"/>
          <w:b/>
          <w:bCs/>
          <w:color w:val="1F4E79"/>
          <w:sz w:val="26"/>
          <w:szCs w:val="26"/>
        </w:rPr>
        <w:t xml:space="preserve">Ringkasan Eksekutif</w:t>
      </w:r>
    </w:p>
    <w:p>
      <w:pPr>
        <w:spacing w:after="80" w:before="80"/>
      </w:pPr>
      <w:r>
        <w:rPr>
          <w:rFonts w:ascii="Arial" w:cs="Arial" w:eastAsia="Arial" w:hAnsi="Arial"/>
          <w:sz w:val="22"/>
          <w:szCs w:val="22"/>
        </w:rPr>
        <w:t xml:space="preserve">Indonesia pada tahun 2026 menghadapi konvergensi guncangan eksternal yang belum pernah terjadi sebelumnya. Krisis Selat Hormuz akibat konflik Iran mengganggu jalur pelayaran minyak global—IEA menyebutnya gangguan pasokan terbesar dalam sejarah pasar minyak. Bersamaan, Indonesia menghadapi tarif AS 19% melalui investigasi Section 301 yang mengancam sektor tekstil, alas kaki, elektronik, karet, dan sawit; Rupiah mendekati rekor terendah Rp 17.200/USD; serta ancaman downgrade dari Moody’s dan Fitch yang membekukan review pasar modal Indonesia.</w:t>
      </w:r>
    </w:p>
    <w:p>
      <w:pPr>
        <w:spacing w:after="80" w:before="80"/>
      </w:pPr>
      <w:r>
        <w:rPr>
          <w:rFonts w:ascii="Arial" w:cs="Arial" w:eastAsia="Arial" w:hAnsi="Arial"/>
          <w:b/>
          <w:bCs/>
          <w:sz w:val="22"/>
          <w:szCs w:val="22"/>
        </w:rPr>
        <w:t xml:space="preserve">Problem Statement: </w:t>
      </w:r>
      <w:r>
        <w:rPr>
          <w:rFonts w:ascii="Arial" w:cs="Arial" w:eastAsia="Arial" w:hAnsi="Arial"/>
          <w:sz w:val="22"/>
          <w:szCs w:val="22"/>
        </w:rPr>
        <w:t xml:space="preserve">Analisis makroekonomi Indonesia umumnya dilakukan di level nasional, menyembunyikan heterogenitas kerentanan antar daerah. Ketika sumber daya pemerintah terbatas, diperlukan peta yang jelas: provinsi mana yang paling rentan, dan intervensi apa yang tepat sasaran?</w:t>
      </w:r>
    </w:p>
    <w:p>
      <w:pPr>
        <w:spacing w:after="80" w:before="80"/>
      </w:pPr>
      <w:r>
        <w:rPr>
          <w:rFonts w:ascii="Arial" w:cs="Arial" w:eastAsia="Arial" w:hAnsi="Arial"/>
          <w:b/>
          <w:bCs/>
          <w:sz w:val="22"/>
          <w:szCs w:val="22"/>
        </w:rPr>
        <w:t xml:space="preserve">Research Questions: </w:t>
      </w:r>
      <w:r>
        <w:rPr>
          <w:rFonts w:ascii="Arial" w:cs="Arial" w:eastAsia="Arial" w:hAnsi="Arial"/>
          <w:sz w:val="22"/>
          <w:szCs w:val="22"/>
        </w:rPr>
        <w:t xml:space="preserve">(1) Fitur struktural apa yang paling menentukan kerentanan provinsi terhadap guncangan eksternal? (2) Kluster kerentanan apa yang terbentuk dari 34 provinsi? (3) Pada skenario adverse 2026, provinsi mana yang memerlukan intervensi prioritas?</w:t>
      </w:r>
    </w:p>
    <w:p>
      <w:pPr>
        <w:spacing w:after="80" w:before="80"/>
      </w:pPr>
      <w:r>
        <w:rPr>
          <w:rFonts w:ascii="Arial" w:cs="Arial" w:eastAsia="Arial" w:hAnsi="Arial"/>
          <w:b/>
          <w:bCs/>
          <w:sz w:val="22"/>
          <w:szCs w:val="22"/>
        </w:rPr>
        <w:t xml:space="preserve">Mengapa proyek ini? </w:t>
      </w:r>
      <w:r>
        <w:rPr>
          <w:rFonts w:ascii="Arial" w:cs="Arial" w:eastAsia="Arial" w:hAnsi="Arial"/>
          <w:sz w:val="22"/>
          <w:szCs w:val="22"/>
        </w:rPr>
        <w:t xml:space="preserve">SHIELD-ID menganalisis krisis yang </w:t>
      </w:r>
      <w:r>
        <w:rPr>
          <w:rFonts w:ascii="Arial" w:cs="Arial" w:eastAsia="Arial" w:hAnsi="Arial"/>
          <w:i/>
          <w:iCs/>
          <w:sz w:val="22"/>
          <w:szCs w:val="22"/>
        </w:rPr>
        <w:t xml:space="preserve">sedang berlangsung</w:t>
      </w:r>
      <w:r>
        <w:rPr>
          <w:rFonts w:ascii="Arial" w:cs="Arial" w:eastAsia="Arial" w:hAnsi="Arial"/>
          <w:sz w:val="22"/>
          <w:szCs w:val="22"/>
        </w:rPr>
        <w:t xml:space="preserve">, bukan retrospektif. Dengan mengadaptasi stress-test framework yang lazim digunakan bank sentral ke level ketahanan ekonomi regional, proyek ini menghasilkan Vulnerability Index yang actionable: ranking 34 provinsi berdasarkan eksposur struktural terhadap guncangan nyata 2026, dilengkapi rekomendasi kebijakan per provinsi dalam Bahasa Indonesia yang dihasilkan oleh Azure OpenAI GPT-4o.</w:t>
      </w:r>
    </w:p>
    <w:p>
      <w:pPr>
        <w:pBdr>
          <w:bottom w:val="single" w:color="2E75B6" w:sz="6" w:space="4"/>
        </w:pBdr>
        <w:spacing w:after="140" w:before="300"/>
      </w:pPr>
      <w:r>
        <w:rPr>
          <w:rFonts w:ascii="Arial" w:cs="Arial" w:eastAsia="Arial" w:hAnsi="Arial"/>
          <w:b/>
          <w:bCs/>
          <w:color w:val="1F4E79"/>
          <w:sz w:val="26"/>
          <w:szCs w:val="26"/>
        </w:rPr>
        <w:t xml:space="preserve">Deskripsi Project</w:t>
      </w:r>
    </w:p>
    <w:p>
      <w:pPr>
        <w:spacing w:after="80" w:before="80"/>
      </w:pPr>
      <w:r>
        <w:rPr>
          <w:rFonts w:ascii="Arial" w:cs="Arial" w:eastAsia="Arial" w:hAnsi="Arial"/>
          <w:b/>
          <w:bCs/>
          <w:sz w:val="22"/>
          <w:szCs w:val="22"/>
        </w:rPr>
        <w:t xml:space="preserve">SHIELD-ID </w:t>
      </w:r>
      <w:r>
        <w:rPr>
          <w:rFonts w:ascii="Arial" w:cs="Arial" w:eastAsia="Arial" w:hAnsi="Arial"/>
          <w:i/>
          <w:iCs/>
          <w:sz w:val="22"/>
          <w:szCs w:val="22"/>
        </w:rPr>
        <w:t xml:space="preserve">(Shock &amp; Hazard Index for Economic Livelihood Diagnostics — Indonesia) </w:t>
      </w:r>
      <w:r>
        <w:rPr>
          <w:rFonts w:ascii="Arial" w:cs="Arial" w:eastAsia="Arial" w:hAnsi="Arial"/>
          <w:sz w:val="22"/>
          <w:szCs w:val="22"/>
        </w:rPr>
        <w:t xml:space="preserve">adalah platform analitik berbasis data yang membangun indeks kerentanan ekonomi komposit untuk </w:t>
      </w:r>
      <w:r>
        <w:rPr>
          <w:rFonts w:ascii="Arial" w:cs="Arial" w:eastAsia="Arial" w:hAnsi="Arial"/>
          <w:b/>
          <w:bCs/>
          <w:sz w:val="22"/>
          <w:szCs w:val="22"/>
        </w:rPr>
        <w:t xml:space="preserve">34 provinsi Indonesia </w:t>
      </w:r>
      <w:r>
        <w:rPr>
          <w:rFonts w:ascii="Arial" w:cs="Arial" w:eastAsia="Arial" w:hAnsi="Arial"/>
          <w:sz w:val="22"/>
          <w:szCs w:val="22"/>
        </w:rPr>
        <w:t xml:space="preserve">terhadap guncangan makro eksternal.</w:t>
      </w:r>
    </w:p>
    <w:p>
      <w:pPr>
        <w:spacing w:after="80" w:before="80"/>
      </w:pPr>
      <w:r>
        <w:rPr>
          <w:rFonts w:ascii="Arial" w:cs="Arial" w:eastAsia="Arial" w:hAnsi="Arial"/>
          <w:sz w:val="22"/>
          <w:szCs w:val="22"/>
        </w:rPr>
        <w:t xml:space="preserve">Produk ini menggabungkan tiga lapisan utama:</w:t>
      </w:r>
    </w:p>
    <w:p>
      <w:pPr>
        <w:pStyle w:val="ListParagraph"/>
        <w:numPr>
          <w:ilvl w:val="0"/>
          <w:numId w:val="2"/>
        </w:numPr>
        <w:spacing w:after="80" w:before="80"/>
      </w:pPr>
      <w:r>
        <w:rPr>
          <w:rFonts w:ascii="Arial" w:cs="Arial" w:eastAsia="Arial" w:hAnsi="Arial"/>
          <w:b/>
          <w:bCs/>
          <w:sz w:val="22"/>
          <w:szCs w:val="22"/>
        </w:rPr>
        <w:t xml:space="preserve">Data Layer </w:t>
      </w:r>
      <w:r>
        <w:rPr>
          <w:rFonts w:ascii="Arial" w:cs="Arial" w:eastAsia="Arial" w:hAnsi="Arial"/>
          <w:sz w:val="22"/>
          <w:szCs w:val="22"/>
        </w:rPr>
        <w:t xml:space="preserve">— Pipeline otomatis yang mengintegrasikan data dari BPS WebAPI, World Bank Pink Sheet, FRED, Yahoo Finance, dan Bank Indonesia ke dalam satu panel dataset bersih.</w:t>
      </w:r>
    </w:p>
    <w:p>
      <w:pPr>
        <w:pStyle w:val="ListParagraph"/>
        <w:numPr>
          <w:ilvl w:val="0"/>
          <w:numId w:val="2"/>
        </w:numPr>
        <w:spacing w:after="80" w:before="80"/>
      </w:pPr>
      <w:r>
        <w:rPr>
          <w:rFonts w:ascii="Arial" w:cs="Arial" w:eastAsia="Arial" w:hAnsi="Arial"/>
          <w:b/>
          <w:bCs/>
          <w:sz w:val="22"/>
          <w:szCs w:val="22"/>
        </w:rPr>
        <w:t xml:space="preserve">Modeling Layer </w:t>
      </w:r>
      <w:r>
        <w:rPr>
          <w:rFonts w:ascii="Arial" w:cs="Arial" w:eastAsia="Arial" w:hAnsi="Arial"/>
          <w:sz w:val="22"/>
          <w:szCs w:val="22"/>
        </w:rPr>
        <w:t xml:space="preserve">— Pemodelan ekonometrik (Panel Regression) dan machine learning (XGBoost/LightGBM) untuk memprediksi risiko distress ekonomi per provinsi, diperkuat dengan SHAP values untuk explainability.</w:t>
      </w:r>
    </w:p>
    <w:p>
      <w:pPr>
        <w:pStyle w:val="ListParagraph"/>
        <w:numPr>
          <w:ilvl w:val="0"/>
          <w:numId w:val="2"/>
        </w:numPr>
        <w:spacing w:after="80" w:before="80"/>
      </w:pPr>
      <w:r>
        <w:rPr>
          <w:rFonts w:ascii="Arial" w:cs="Arial" w:eastAsia="Arial" w:hAnsi="Arial"/>
          <w:b/>
          <w:bCs/>
          <w:sz w:val="22"/>
          <w:szCs w:val="22"/>
        </w:rPr>
        <w:t xml:space="preserve">Insight Layer </w:t>
      </w:r>
      <w:r>
        <w:rPr>
          <w:rFonts w:ascii="Arial" w:cs="Arial" w:eastAsia="Arial" w:hAnsi="Arial"/>
          <w:sz w:val="22"/>
          <w:szCs w:val="22"/>
        </w:rPr>
        <w:t xml:space="preserve">— Azure OpenAI GPT-4o menghasilkan policy brief per provinsi dalam Bahasa Indonesia, ditampilkan melalui dashboard interaktif peta kerentanan dengan tiga skenario 2026.</w:t>
      </w:r>
    </w:p>
    <w:p>
      <w:pPr>
        <w:spacing w:after="80" w:before="80"/>
      </w:pPr>
      <w:r>
        <w:rPr>
          <w:rFonts w:ascii="Arial" w:cs="Arial" w:eastAsia="Arial" w:hAnsi="Arial"/>
          <w:sz w:val="22"/>
          <w:szCs w:val="22"/>
        </w:rPr>
        <w:t xml:space="preserve">SHIELD-ID menyelesaikan masalah ketiadaan alat diagnostik regional yang mampu secara kuantitatif membandingkan kerentanan ekonomi 34 provinsi secara simultan, sehingga alokasi sumber daya fiskal dan program perlindungan sosial dapat dilakukan lebih tepat sasaran.</w:t>
      </w:r>
    </w:p>
    <w:p>
      <w:pPr>
        <w:pBdr>
          <w:bottom w:val="single" w:color="2E75B6" w:sz="6" w:space="4"/>
        </w:pBdr>
        <w:spacing w:after="140" w:before="300"/>
      </w:pPr>
      <w:r>
        <w:rPr>
          <w:rFonts w:ascii="Arial" w:cs="Arial" w:eastAsia="Arial" w:hAnsi="Arial"/>
          <w:b/>
          <w:bCs/>
          <w:color w:val="1F4E79"/>
          <w:sz w:val="26"/>
          <w:szCs w:val="26"/>
        </w:rPr>
        <w:t xml:space="preserve">Fitur Utama dan Teknologi yang Digunakan</w:t>
      </w:r>
    </w:p>
    <w:p>
      <w:pPr>
        <w:spacing w:after="80" w:before="80"/>
      </w:pPr>
      <w:r>
        <w:rPr>
          <w:rFonts w:ascii="Arial" w:cs="Arial" w:eastAsia="Arial" w:hAnsi="Arial"/>
          <w:b/>
          <w:bCs/>
          <w:sz w:val="22"/>
          <w:szCs w:val="22"/>
        </w:rPr>
        <w:t xml:space="preserve">Fitur Utama:</w:t>
      </w:r>
    </w:p>
    <w:p>
      <w:pPr>
        <w:pStyle w:val="ListParagraph"/>
        <w:numPr>
          <w:ilvl w:val="0"/>
          <w:numId w:val="3"/>
        </w:numPr>
        <w:spacing w:after="50" w:before="50"/>
      </w:pPr>
      <w:r>
        <w:rPr>
          <w:rFonts w:ascii="Arial" w:cs="Arial" w:eastAsia="Arial" w:hAnsi="Arial"/>
          <w:b/>
          <w:bCs/>
          <w:sz w:val="22"/>
          <w:szCs w:val="22"/>
        </w:rPr>
        <w:t xml:space="preserve">Pipeline Data Multi-Sumber </w:t>
      </w:r>
      <w:r>
        <w:rPr>
          <w:rFonts w:ascii="Arial" w:cs="Arial" w:eastAsia="Arial" w:hAnsi="Arial"/>
          <w:sz w:val="22"/>
          <w:szCs w:val="22"/>
        </w:rPr>
        <w:t xml:space="preserve">— Pengunduhan otomatis dari BPS WebAPI, World Bank Pink Sheet, FRED API, Yahoo Finance, dan Bank Indonesia.</w:t>
      </w:r>
    </w:p>
    <w:p>
      <w:pPr>
        <w:pStyle w:val="ListParagraph"/>
        <w:numPr>
          <w:ilvl w:val="0"/>
          <w:numId w:val="3"/>
        </w:numPr>
        <w:spacing w:after="50" w:before="50"/>
      </w:pPr>
      <w:r>
        <w:rPr>
          <w:rFonts w:ascii="Arial" w:cs="Arial" w:eastAsia="Arial" w:hAnsi="Arial"/>
          <w:b/>
          <w:bCs/>
          <w:sz w:val="22"/>
          <w:szCs w:val="22"/>
        </w:rPr>
        <w:t xml:space="preserve">Feature Engineering Ekonometrik </w:t>
      </w:r>
      <w:r>
        <w:rPr>
          <w:rFonts w:ascii="Arial" w:cs="Arial" w:eastAsia="Arial" w:hAnsi="Arial"/>
          <w:sz w:val="22"/>
          <w:szCs w:val="22"/>
        </w:rPr>
        <w:t xml:space="preserve">— Herfindahl-Hirschman Index (HHI) sektoral; Rasio Eksposur Ekspor ke AS berbobot tarif Section 301; Proxy Kerentanan Energi berbasis CPI transportasi/BBM; Shock Sensitivity Coefficient via rolling regression.</w:t>
      </w:r>
    </w:p>
    <w:p>
      <w:pPr>
        <w:pStyle w:val="ListParagraph"/>
        <w:numPr>
          <w:ilvl w:val="0"/>
          <w:numId w:val="3"/>
        </w:numPr>
        <w:spacing w:after="50" w:before="50"/>
      </w:pPr>
      <w:r>
        <w:rPr>
          <w:rFonts w:ascii="Arial" w:cs="Arial" w:eastAsia="Arial" w:hAnsi="Arial"/>
          <w:b/>
          <w:bCs/>
          <w:sz w:val="22"/>
          <w:szCs w:val="22"/>
        </w:rPr>
        <w:t xml:space="preserve">Pemodelan Vulnerability </w:t>
      </w:r>
      <w:r>
        <w:rPr>
          <w:rFonts w:ascii="Arial" w:cs="Arial" w:eastAsia="Arial" w:hAnsi="Arial"/>
          <w:sz w:val="22"/>
          <w:szCs w:val="22"/>
        </w:rPr>
        <w:t xml:space="preserve">— Panel Regression baseline; XGBoost/LightGBM untuk klasifikasi distress ekonomi; validasi historis terhadap GFC 2008, commodity bust 2015, dan COVID-19 2020.</w:t>
      </w:r>
    </w:p>
    <w:p>
      <w:pPr>
        <w:pStyle w:val="ListParagraph"/>
        <w:numPr>
          <w:ilvl w:val="0"/>
          <w:numId w:val="3"/>
        </w:numPr>
        <w:spacing w:after="50" w:before="50"/>
      </w:pPr>
      <w:r>
        <w:rPr>
          <w:rFonts w:ascii="Arial" w:cs="Arial" w:eastAsia="Arial" w:hAnsi="Arial"/>
          <w:b/>
          <w:bCs/>
          <w:sz w:val="22"/>
          <w:szCs w:val="22"/>
        </w:rPr>
        <w:t xml:space="preserve">Vulnerability Index Komposit </w:t>
      </w:r>
      <w:r>
        <w:rPr>
          <w:rFonts w:ascii="Arial" w:cs="Arial" w:eastAsia="Arial" w:hAnsi="Arial"/>
          <w:sz w:val="22"/>
          <w:szCs w:val="22"/>
        </w:rPr>
        <w:t xml:space="preserve">— Ranking 34 provinsi dari paling rentan ke paling tahan, berbasis feature importance dan SHAP values dari model terbaik.</w:t>
      </w:r>
    </w:p>
    <w:p>
      <w:pPr>
        <w:pStyle w:val="ListParagraph"/>
        <w:numPr>
          <w:ilvl w:val="0"/>
          <w:numId w:val="3"/>
        </w:numPr>
        <w:spacing w:after="50" w:before="50"/>
      </w:pPr>
      <w:r>
        <w:rPr>
          <w:rFonts w:ascii="Arial" w:cs="Arial" w:eastAsia="Arial" w:hAnsi="Arial"/>
          <w:b/>
          <w:bCs/>
          <w:sz w:val="22"/>
          <w:szCs w:val="22"/>
        </w:rPr>
        <w:t xml:space="preserve">Simulasi Skenario 2026 </w:t>
      </w:r>
      <w:r>
        <w:rPr>
          <w:rFonts w:ascii="Arial" w:cs="Arial" w:eastAsia="Arial" w:hAnsi="Arial"/>
          <w:sz w:val="22"/>
          <w:szCs w:val="22"/>
        </w:rPr>
        <w:t xml:space="preserve">— Tiga skenario (Base Case, Adverse, Severe) menghasilkan vulnerability map per skenario dengan proyeksi inflasi dan pertumbuhan PDRB.</w:t>
      </w:r>
    </w:p>
    <w:p>
      <w:pPr>
        <w:pStyle w:val="ListParagraph"/>
        <w:numPr>
          <w:ilvl w:val="0"/>
          <w:numId w:val="3"/>
        </w:numPr>
        <w:spacing w:after="50" w:before="50"/>
      </w:pPr>
      <w:r>
        <w:rPr>
          <w:rFonts w:ascii="Arial" w:cs="Arial" w:eastAsia="Arial" w:hAnsi="Arial"/>
          <w:b/>
          <w:bCs/>
          <w:sz w:val="22"/>
          <w:szCs w:val="22"/>
        </w:rPr>
        <w:t xml:space="preserve">AI Policy Briefs </w:t>
      </w:r>
      <w:r>
        <w:rPr>
          <w:rFonts w:ascii="Arial" w:cs="Arial" w:eastAsia="Arial" w:hAnsi="Arial"/>
          <w:sz w:val="22"/>
          <w:szCs w:val="22"/>
        </w:rPr>
        <w:t xml:space="preserve">— Azure OpenAI GPT-4o menghasilkan rekomendasi strategis per provinsi dalam Bahasa Indonesia berdasarkan output model.</w:t>
      </w:r>
    </w:p>
    <w:p>
      <w:pPr>
        <w:pStyle w:val="ListParagraph"/>
        <w:numPr>
          <w:ilvl w:val="0"/>
          <w:numId w:val="3"/>
        </w:numPr>
        <w:spacing w:after="50" w:before="50"/>
      </w:pPr>
      <w:r>
        <w:rPr>
          <w:rFonts w:ascii="Arial" w:cs="Arial" w:eastAsia="Arial" w:hAnsi="Arial"/>
          <w:b/>
          <w:bCs/>
          <w:sz w:val="22"/>
          <w:szCs w:val="22"/>
        </w:rPr>
        <w:t xml:space="preserve">Dashboard Interaktif </w:t>
      </w:r>
      <w:r>
        <w:rPr>
          <w:rFonts w:ascii="Arial" w:cs="Arial" w:eastAsia="Arial" w:hAnsi="Arial"/>
          <w:sz w:val="22"/>
          <w:szCs w:val="22"/>
        </w:rPr>
        <w:t xml:space="preserve">— Peta Indonesia dengan color-coding skor kerentanan per provinsi, difilter per skenario; hosting via Azure App Service.</w:t>
      </w:r>
    </w:p>
    <w:p>
      <w:pPr>
        <w:pStyle w:val="ListParagraph"/>
        <w:numPr>
          <w:ilvl w:val="0"/>
          <w:numId w:val="3"/>
        </w:numPr>
        <w:spacing w:after="50" w:before="50"/>
      </w:pPr>
      <w:r>
        <w:rPr>
          <w:rFonts w:ascii="Arial" w:cs="Arial" w:eastAsia="Arial" w:hAnsi="Arial"/>
          <w:b/>
          <w:bCs/>
          <w:sz w:val="22"/>
          <w:szCs w:val="22"/>
        </w:rPr>
        <w:t xml:space="preserve">Explainability </w:t>
      </w:r>
      <w:r>
        <w:rPr>
          <w:rFonts w:ascii="Arial" w:cs="Arial" w:eastAsia="Arial" w:hAnsi="Arial"/>
          <w:sz w:val="22"/>
          <w:szCs w:val="22"/>
        </w:rPr>
        <w:t xml:space="preserve">— Azure Responsible AI Dashboard untuk visualisasi SHAP values dan analisis fairness antar region.</w:t>
      </w:r>
    </w:p>
    <w:p>
      <w:pPr>
        <w:spacing w:after="0" w:before="140"/>
      </w:pPr>
    </w:p>
    <w:p>
      <w:pPr>
        <w:spacing w:after="80" w:before="80"/>
      </w:pPr>
      <w:r>
        <w:rPr>
          <w:rFonts w:ascii="Arial" w:cs="Arial" w:eastAsia="Arial" w:hAnsi="Arial"/>
          <w:b/>
          <w:bCs/>
          <w:sz w:val="22"/>
          <w:szCs w:val="22"/>
        </w:rPr>
        <w:t xml:space="preserve">Teknologi yang Digunakan:</w:t>
      </w:r>
    </w:p>
    <w:p>
      <w:pPr>
        <w:pStyle w:val="ListParagraph"/>
        <w:numPr>
          <w:ilvl w:val="0"/>
          <w:numId w:val="3"/>
        </w:numPr>
        <w:spacing w:after="50" w:before="50"/>
      </w:pPr>
      <w:r>
        <w:rPr>
          <w:rFonts w:ascii="Arial" w:cs="Arial" w:eastAsia="Arial" w:hAnsi="Arial"/>
          <w:b/>
          <w:bCs/>
          <w:sz w:val="22"/>
          <w:szCs w:val="22"/>
        </w:rPr>
        <w:t xml:space="preserve">Bahasa &amp; Library: </w:t>
      </w:r>
      <w:r>
        <w:rPr>
          <w:rFonts w:ascii="Arial" w:cs="Arial" w:eastAsia="Arial" w:hAnsi="Arial"/>
          <w:sz w:val="22"/>
          <w:szCs w:val="22"/>
        </w:rPr>
        <w:t xml:space="preserve">Python, Pandas, NumPy, Scikit-learn, XGBoost, LightGBM, Statsmodels, Matplotlib, Plotly</w:t>
      </w:r>
    </w:p>
    <w:p>
      <w:pPr>
        <w:pStyle w:val="ListParagraph"/>
        <w:numPr>
          <w:ilvl w:val="0"/>
          <w:numId w:val="3"/>
        </w:numPr>
        <w:spacing w:after="50" w:before="50"/>
      </w:pPr>
      <w:r>
        <w:rPr>
          <w:rFonts w:ascii="Arial" w:cs="Arial" w:eastAsia="Arial" w:hAnsi="Arial"/>
          <w:b/>
          <w:bCs/>
          <w:sz w:val="22"/>
          <w:szCs w:val="22"/>
        </w:rPr>
        <w:t xml:space="preserve">Platform Cloud: </w:t>
      </w:r>
      <w:r>
        <w:rPr>
          <w:rFonts w:ascii="Arial" w:cs="Arial" w:eastAsia="Arial" w:hAnsi="Arial"/>
          <w:sz w:val="22"/>
          <w:szCs w:val="22"/>
        </w:rPr>
        <w:t xml:space="preserve">Microsoft Azure — Blob Storage, Azure Machine Learning, Azure OpenAI Service, Azure App Service, Azure Monitor</w:t>
      </w:r>
    </w:p>
    <w:p>
      <w:pPr>
        <w:pStyle w:val="ListParagraph"/>
        <w:numPr>
          <w:ilvl w:val="0"/>
          <w:numId w:val="3"/>
        </w:numPr>
        <w:spacing w:after="50" w:before="50"/>
      </w:pPr>
      <w:r>
        <w:rPr>
          <w:rFonts w:ascii="Arial" w:cs="Arial" w:eastAsia="Arial" w:hAnsi="Arial"/>
          <w:b/>
          <w:bCs/>
          <w:sz w:val="22"/>
          <w:szCs w:val="22"/>
        </w:rPr>
        <w:t xml:space="preserve">Sumber Data: </w:t>
      </w:r>
      <w:r>
        <w:rPr>
          <w:rFonts w:ascii="Arial" w:cs="Arial" w:eastAsia="Arial" w:hAnsi="Arial"/>
          <w:sz w:val="22"/>
          <w:szCs w:val="22"/>
        </w:rPr>
        <w:t xml:space="preserve">BPS WebAPI, World Bank Pink Sheet, FRED (St. Louis Fed), Yahoo Finance, Bank Indonesia</w:t>
      </w:r>
    </w:p>
    <w:p>
      <w:pPr>
        <w:pStyle w:val="ListParagraph"/>
        <w:numPr>
          <w:ilvl w:val="0"/>
          <w:numId w:val="3"/>
        </w:numPr>
        <w:spacing w:after="50" w:before="50"/>
      </w:pPr>
      <w:r>
        <w:rPr>
          <w:rFonts w:ascii="Arial" w:cs="Arial" w:eastAsia="Arial" w:hAnsi="Arial"/>
          <w:b/>
          <w:bCs/>
          <w:sz w:val="22"/>
          <w:szCs w:val="22"/>
        </w:rPr>
        <w:t xml:space="preserve">Development: </w:t>
      </w:r>
      <w:r>
        <w:rPr>
          <w:rFonts w:ascii="Arial" w:cs="Arial" w:eastAsia="Arial" w:hAnsi="Arial"/>
          <w:sz w:val="22"/>
          <w:szCs w:val="22"/>
        </w:rPr>
        <w:t xml:space="preserve">Jupyter Notebook, Python 3.10+, Git</w:t>
      </w:r>
    </w:p>
    <w:p>
      <w:pPr>
        <w:pBdr>
          <w:bottom w:val="single" w:color="2E75B6" w:sz="6" w:space="4"/>
        </w:pBdr>
        <w:spacing w:after="140" w:before="300"/>
      </w:pPr>
      <w:r>
        <w:rPr>
          <w:rFonts w:ascii="Arial" w:cs="Arial" w:eastAsia="Arial" w:hAnsi="Arial"/>
          <w:b/>
          <w:bCs/>
          <w:color w:val="1F4E79"/>
          <w:sz w:val="26"/>
          <w:szCs w:val="26"/>
        </w:rPr>
        <w:t xml:space="preserve">Cara Penggunaan Product</w:t>
      </w:r>
    </w:p>
    <w:p>
      <w:pPr>
        <w:spacing w:after="80" w:before="80"/>
      </w:pPr>
      <w:r>
        <w:rPr>
          <w:rFonts w:ascii="Arial" w:cs="Arial" w:eastAsia="Arial" w:hAnsi="Arial"/>
          <w:b/>
          <w:bCs/>
          <w:sz w:val="22"/>
          <w:szCs w:val="22"/>
        </w:rPr>
        <w:t xml:space="preserve">Alur Penggunaan:</w:t>
      </w:r>
    </w:p>
    <w:p>
      <w:pPr>
        <w:pStyle w:val="ListParagraph"/>
        <w:numPr>
          <w:ilvl w:val="0"/>
          <w:numId w:val="4"/>
        </w:numPr>
        <w:spacing w:after="80" w:before="80"/>
      </w:pPr>
      <w:r>
        <w:rPr>
          <w:rFonts w:ascii="Arial" w:cs="Arial" w:eastAsia="Arial" w:hAnsi="Arial"/>
          <w:b/>
          <w:bCs/>
          <w:sz w:val="22"/>
          <w:szCs w:val="22"/>
        </w:rPr>
        <w:t xml:space="preserve">Pengumpulan Data </w:t>
      </w:r>
      <w:r>
        <w:rPr>
          <w:rFonts w:ascii="Arial" w:cs="Arial" w:eastAsia="Arial" w:hAnsi="Arial"/>
          <w:sz w:val="22"/>
          <w:szCs w:val="22"/>
        </w:rPr>
        <w:t xml:space="preserve">— Jalankan </w:t>
      </w:r>
      <w:r>
        <w:rPr>
          <w:rFonts w:ascii="Courier New" w:cs="Courier New" w:eastAsia="Courier New" w:hAnsi="Courier New"/>
          <w:b/>
          <w:bCs/>
          <w:sz w:val="22"/>
          <w:szCs w:val="22"/>
        </w:rPr>
        <w:t xml:space="preserve">python collect_data.py</w:t>
      </w:r>
      <w:r>
        <w:rPr>
          <w:rFonts w:ascii="Arial" w:cs="Arial" w:eastAsia="Arial" w:hAnsi="Arial"/>
          <w:sz w:val="22"/>
          <w:szCs w:val="22"/>
        </w:rPr>
        <w:t xml:space="preserve"> untuk mengunduh semua dataset secara otomatis. Sumber tanpa API key (World Bank, Yahoo Finance) berjalan langsung; BPS dan FRED memerlukan key gratis yang dapat didaftarkan dalam 5 menit.</w:t>
      </w:r>
    </w:p>
    <w:p>
      <w:pPr>
        <w:pStyle w:val="ListParagraph"/>
        <w:numPr>
          <w:ilvl w:val="0"/>
          <w:numId w:val="4"/>
        </w:numPr>
        <w:spacing w:after="80" w:before="80"/>
      </w:pPr>
      <w:r>
        <w:rPr>
          <w:rFonts w:ascii="Arial" w:cs="Arial" w:eastAsia="Arial" w:hAnsi="Arial"/>
          <w:b/>
          <w:bCs/>
          <w:sz w:val="22"/>
          <w:szCs w:val="22"/>
        </w:rPr>
        <w:t xml:space="preserve">EDA &amp; Feature Engineering </w:t>
      </w:r>
      <w:r>
        <w:rPr>
          <w:rFonts w:ascii="Arial" w:cs="Arial" w:eastAsia="Arial" w:hAnsi="Arial"/>
          <w:sz w:val="22"/>
          <w:szCs w:val="22"/>
        </w:rPr>
        <w:t xml:space="preserve">— Buka </w:t>
      </w:r>
      <w:r>
        <w:rPr>
          <w:rFonts w:ascii="Courier New" w:cs="Courier New" w:eastAsia="Courier New" w:hAnsi="Courier New"/>
          <w:b/>
          <w:bCs/>
          <w:sz w:val="22"/>
          <w:szCs w:val="22"/>
        </w:rPr>
        <w:t xml:space="preserve">01_data_collection.ipynb</w:t>
      </w:r>
      <w:r>
        <w:rPr>
          <w:rFonts w:ascii="Arial" w:cs="Arial" w:eastAsia="Arial" w:hAnsi="Arial"/>
          <w:sz w:val="22"/>
          <w:szCs w:val="22"/>
        </w:rPr>
        <w:t xml:space="preserve"> lalu lanjutkan ke notebook EDA. Tampilkan radar charts struktur ekonomi 34 provinsi, korelasi spasial guncangan global terhadap inflasi regional, dan clustering provinsi.</w:t>
      </w:r>
    </w:p>
    <w:p>
      <w:pPr>
        <w:pStyle w:val="ListParagraph"/>
        <w:numPr>
          <w:ilvl w:val="0"/>
          <w:numId w:val="4"/>
        </w:numPr>
        <w:spacing w:after="80" w:before="80"/>
      </w:pPr>
      <w:r>
        <w:rPr>
          <w:rFonts w:ascii="Arial" w:cs="Arial" w:eastAsia="Arial" w:hAnsi="Arial"/>
          <w:b/>
          <w:bCs/>
          <w:sz w:val="22"/>
          <w:szCs w:val="22"/>
        </w:rPr>
        <w:t xml:space="preserve">Pelatihan Model </w:t>
      </w:r>
      <w:r>
        <w:rPr>
          <w:rFonts w:ascii="Arial" w:cs="Arial" w:eastAsia="Arial" w:hAnsi="Arial"/>
          <w:sz w:val="22"/>
          <w:szCs w:val="22"/>
        </w:rPr>
        <w:t xml:space="preserve">— Jalankan notebook modeling: Panel Regression baseline → XGBoost/LightGBM → Vulnerability Index. Evaluasi dengan F1-Score, AUC-ROC, dan validasi Spearman rank correlation terhadap outcome krisis historis.</w:t>
      </w:r>
    </w:p>
    <w:p>
      <w:pPr>
        <w:pStyle w:val="ListParagraph"/>
        <w:numPr>
          <w:ilvl w:val="0"/>
          <w:numId w:val="4"/>
        </w:numPr>
        <w:spacing w:after="80" w:before="80"/>
      </w:pPr>
      <w:r>
        <w:rPr>
          <w:rFonts w:ascii="Arial" w:cs="Arial" w:eastAsia="Arial" w:hAnsi="Arial"/>
          <w:b/>
          <w:bCs/>
          <w:sz w:val="22"/>
          <w:szCs w:val="22"/>
        </w:rPr>
        <w:t xml:space="preserve">Simulasi Skenario 2026 </w:t>
      </w:r>
      <w:r>
        <w:rPr>
          <w:rFonts w:ascii="Arial" w:cs="Arial" w:eastAsia="Arial" w:hAnsi="Arial"/>
          <w:sz w:val="22"/>
          <w:szCs w:val="22"/>
        </w:rPr>
        <w:t xml:space="preserve">— Input parameter tiga skenario (Base / Adverse / Severe) dan model menghasilkan vulnerability map per skenario dengan proyeksi inflasi dan pertumbuhan PDRB per provinsi.</w:t>
      </w:r>
    </w:p>
    <w:p>
      <w:pPr>
        <w:pStyle w:val="ListParagraph"/>
        <w:numPr>
          <w:ilvl w:val="0"/>
          <w:numId w:val="4"/>
        </w:numPr>
        <w:spacing w:after="80" w:before="80"/>
      </w:pPr>
      <w:r>
        <w:rPr>
          <w:rFonts w:ascii="Arial" w:cs="Arial" w:eastAsia="Arial" w:hAnsi="Arial"/>
          <w:b/>
          <w:bCs/>
          <w:sz w:val="22"/>
          <w:szCs w:val="22"/>
        </w:rPr>
        <w:t xml:space="preserve">Akses Dashboard </w:t>
      </w:r>
      <w:r>
        <w:rPr>
          <w:rFonts w:ascii="Arial" w:cs="Arial" w:eastAsia="Arial" w:hAnsi="Arial"/>
          <w:sz w:val="22"/>
          <w:szCs w:val="22"/>
        </w:rPr>
        <w:t xml:space="preserve">— Buka dashboard interaktif di browser, lihat peta kerentanan Indonesia. Klik provinsi untuk melihat skor kerentanan, faktor utama, dan proyeksi per skenario.</w:t>
      </w:r>
    </w:p>
    <w:p>
      <w:pPr>
        <w:pStyle w:val="ListParagraph"/>
        <w:numPr>
          <w:ilvl w:val="0"/>
          <w:numId w:val="4"/>
        </w:numPr>
        <w:spacing w:after="80" w:before="80"/>
      </w:pPr>
      <w:r>
        <w:rPr>
          <w:rFonts w:ascii="Arial" w:cs="Arial" w:eastAsia="Arial" w:hAnsi="Arial"/>
          <w:b/>
          <w:bCs/>
          <w:sz w:val="22"/>
          <w:szCs w:val="22"/>
        </w:rPr>
        <w:t xml:space="preserve">Baca Policy Brief </w:t>
      </w:r>
      <w:r>
        <w:rPr>
          <w:rFonts w:ascii="Arial" w:cs="Arial" w:eastAsia="Arial" w:hAnsi="Arial"/>
          <w:sz w:val="22"/>
          <w:szCs w:val="22"/>
        </w:rPr>
        <w:t xml:space="preserve">— Setiap provinsi memiliki policy brief Bahasa Indonesia dari Azure OpenAI berisi: skor kerentanan, faktor utama, proyeksi skenario, dan rekomendasi strategis.</w:t>
      </w:r>
    </w:p>
    <w:p>
      <w:pPr>
        <w:spacing w:after="80" w:before="120"/>
        <w:ind w:left="360"/>
      </w:pPr>
      <w:r>
        <w:rPr>
          <w:rFonts w:ascii="Arial" w:cs="Arial" w:eastAsia="Arial" w:hAnsi="Arial"/>
          <w:i/>
          <w:iCs/>
          <w:color w:val="808080"/>
          <w:sz w:val="20"/>
          <w:szCs w:val="20"/>
        </w:rPr>
        <w:t xml:space="preserve">Demo kredensial dan link prototipe akan tersedia setelah deployment ke Azure App Service.</w:t>
      </w:r>
    </w:p>
    <w:p>
      <w:pPr>
        <w:pBdr>
          <w:bottom w:val="single" w:color="2E75B6" w:sz="6" w:space="4"/>
        </w:pBdr>
        <w:spacing w:after="140" w:before="300"/>
      </w:pPr>
      <w:r>
        <w:rPr>
          <w:rFonts w:ascii="Arial" w:cs="Arial" w:eastAsia="Arial" w:hAnsi="Arial"/>
          <w:b/>
          <w:bCs/>
          <w:color w:val="1F4E79"/>
          <w:sz w:val="26"/>
          <w:szCs w:val="26"/>
        </w:rPr>
        <w:t xml:space="preserve">Informasi Pendukung</w:t>
      </w:r>
    </w:p>
    <w:p>
      <w:pPr>
        <w:spacing w:after="80" w:before="80"/>
      </w:pPr>
      <w:r>
        <w:rPr>
          <w:rFonts w:ascii="Arial" w:cs="Arial" w:eastAsia="Arial" w:hAnsi="Arial"/>
          <w:b/>
          <w:bCs/>
          <w:sz w:val="22"/>
          <w:szCs w:val="22"/>
        </w:rPr>
        <w:t xml:space="preserve">Stack Teknologi Lengkap: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13"/>
        <w:gridCol w:w="3313"/>
      </w:tblGrid>
      <w:tr>
        <w:trPr>
          <w:tblHeader/>
        </w:trPr>
        <w:tc>
          <w:tcPr>
            <w:tcW w:type="dxa" w:w="25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2"/>
                <w:szCs w:val="22"/>
              </w:rPr>
              <w:t xml:space="preserve">Komponen</w:t>
            </w:r>
          </w:p>
        </w:tc>
        <w:tc>
          <w:tcPr>
            <w:tcW w:type="dxa" w:w="3213"/>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2"/>
                <w:szCs w:val="22"/>
              </w:rPr>
              <w:t xml:space="preserve">Layanan / Tool</w:t>
            </w:r>
          </w:p>
        </w:tc>
        <w:tc>
          <w:tcPr>
            <w:tcW w:type="dxa" w:w="3313"/>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2"/>
                <w:szCs w:val="22"/>
              </w:rPr>
              <w:t xml:space="preserve">Fungsi</w:t>
            </w:r>
          </w:p>
        </w:tc>
      </w:tr>
      <w:tr>
        <w:tc>
          <w:tcPr>
            <w:tcW w:type="dxa" w:w="25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Arial" w:cs="Arial" w:eastAsia="Arial" w:hAnsi="Arial"/>
                <w:sz w:val="22"/>
                <w:szCs w:val="22"/>
              </w:rPr>
              <w:t xml:space="preserve">Data Storage</w:t>
            </w:r>
          </w:p>
        </w:tc>
        <w:tc>
          <w:tcPr>
            <w:tcW w:type="dxa" w:w="3213"/>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Arial" w:cs="Arial" w:eastAsia="Arial" w:hAnsi="Arial"/>
                <w:sz w:val="22"/>
                <w:szCs w:val="22"/>
              </w:rPr>
              <w:t xml:space="preserve">Azure Blob Storage</w:t>
            </w:r>
          </w:p>
        </w:tc>
        <w:tc>
          <w:tcPr>
            <w:tcW w:type="dxa" w:w="3313"/>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Arial" w:cs="Arial" w:eastAsia="Arial" w:hAnsi="Arial"/>
                <w:sz w:val="22"/>
                <w:szCs w:val="22"/>
              </w:rPr>
              <w:t xml:space="preserve">Menyimpan dataset mentah dan hasil olahan</w:t>
            </w:r>
          </w:p>
        </w:tc>
      </w:tr>
      <w:tr>
        <w:tc>
          <w:tcPr>
            <w:tcW w:type="dxa" w:w="2500"/>
            <w:tcBorders>
              <w:top w:val="single" w:color="BFBFBF" w:sz="1"/>
              <w:left w:val="single" w:color="BFBFBF" w:sz="1"/>
              <w:bottom w:val="single" w:color="BFBFBF" w:sz="1"/>
              <w:right w:val="single" w:color="BFBFBF" w:sz="1"/>
            </w:tcBorders>
            <w:shd w:fill="F2F7FC" w:val="clear"/>
            <w:tcMar>
              <w:top w:type="dxa" w:w="80"/>
              <w:left w:type="dxa" w:w="140"/>
              <w:bottom w:type="dxa" w:w="80"/>
              <w:right w:type="dxa" w:w="140"/>
            </w:tcMar>
          </w:tcPr>
          <w:p>
            <w:r>
              <w:rPr>
                <w:rFonts w:ascii="Arial" w:cs="Arial" w:eastAsia="Arial" w:hAnsi="Arial"/>
                <w:sz w:val="22"/>
                <w:szCs w:val="22"/>
              </w:rPr>
              <w:t xml:space="preserve">Model Training</w:t>
            </w:r>
          </w:p>
        </w:tc>
        <w:tc>
          <w:tcPr>
            <w:tcW w:type="dxa" w:w="3213"/>
            <w:tcBorders>
              <w:top w:val="single" w:color="BFBFBF" w:sz="1"/>
              <w:left w:val="single" w:color="BFBFBF" w:sz="1"/>
              <w:bottom w:val="single" w:color="BFBFBF" w:sz="1"/>
              <w:right w:val="single" w:color="BFBFBF" w:sz="1"/>
            </w:tcBorders>
            <w:shd w:fill="F2F7FC" w:val="clear"/>
            <w:tcMar>
              <w:top w:type="dxa" w:w="80"/>
              <w:left w:type="dxa" w:w="140"/>
              <w:bottom w:type="dxa" w:w="80"/>
              <w:right w:type="dxa" w:w="140"/>
            </w:tcMar>
          </w:tcPr>
          <w:p>
            <w:r>
              <w:rPr>
                <w:rFonts w:ascii="Arial" w:cs="Arial" w:eastAsia="Arial" w:hAnsi="Arial"/>
                <w:sz w:val="22"/>
                <w:szCs w:val="22"/>
              </w:rPr>
              <w:t xml:space="preserve">Azure Machine Learning</w:t>
            </w:r>
          </w:p>
        </w:tc>
        <w:tc>
          <w:tcPr>
            <w:tcW w:type="dxa" w:w="3313"/>
            <w:tcBorders>
              <w:top w:val="single" w:color="BFBFBF" w:sz="1"/>
              <w:left w:val="single" w:color="BFBFBF" w:sz="1"/>
              <w:bottom w:val="single" w:color="BFBFBF" w:sz="1"/>
              <w:right w:val="single" w:color="BFBFBF" w:sz="1"/>
            </w:tcBorders>
            <w:shd w:fill="F2F7FC" w:val="clear"/>
            <w:tcMar>
              <w:top w:type="dxa" w:w="80"/>
              <w:left w:type="dxa" w:w="140"/>
              <w:bottom w:type="dxa" w:w="80"/>
              <w:right w:type="dxa" w:w="140"/>
            </w:tcMar>
          </w:tcPr>
          <w:p>
            <w:r>
              <w:rPr>
                <w:rFonts w:ascii="Arial" w:cs="Arial" w:eastAsia="Arial" w:hAnsi="Arial"/>
                <w:sz w:val="22"/>
                <w:szCs w:val="22"/>
              </w:rPr>
              <w:t xml:space="preserve">Experiment tracking, hyperparameter tuning, model registry</w:t>
            </w:r>
          </w:p>
        </w:tc>
      </w:tr>
      <w:tr>
        <w:tc>
          <w:tcPr>
            <w:tcW w:type="dxa" w:w="25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Arial" w:cs="Arial" w:eastAsia="Arial" w:hAnsi="Arial"/>
                <w:sz w:val="22"/>
                <w:szCs w:val="22"/>
              </w:rPr>
              <w:t xml:space="preserve">Explainability</w:t>
            </w:r>
          </w:p>
        </w:tc>
        <w:tc>
          <w:tcPr>
            <w:tcW w:type="dxa" w:w="3213"/>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Arial" w:cs="Arial" w:eastAsia="Arial" w:hAnsi="Arial"/>
                <w:sz w:val="22"/>
                <w:szCs w:val="22"/>
              </w:rPr>
              <w:t xml:space="preserve">Azure Responsible AI Dashboard</w:t>
            </w:r>
          </w:p>
        </w:tc>
        <w:tc>
          <w:tcPr>
            <w:tcW w:type="dxa" w:w="3313"/>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Arial" w:cs="Arial" w:eastAsia="Arial" w:hAnsi="Arial"/>
                <w:sz w:val="22"/>
                <w:szCs w:val="22"/>
              </w:rPr>
              <w:t xml:space="preserve">Visualisasi SHAP values dan fairness analysis antar region</w:t>
            </w:r>
          </w:p>
        </w:tc>
      </w:tr>
      <w:tr>
        <w:tc>
          <w:tcPr>
            <w:tcW w:type="dxa" w:w="2500"/>
            <w:tcBorders>
              <w:top w:val="single" w:color="BFBFBF" w:sz="1"/>
              <w:left w:val="single" w:color="BFBFBF" w:sz="1"/>
              <w:bottom w:val="single" w:color="BFBFBF" w:sz="1"/>
              <w:right w:val="single" w:color="BFBFBF" w:sz="1"/>
            </w:tcBorders>
            <w:shd w:fill="F2F7FC" w:val="clear"/>
            <w:tcMar>
              <w:top w:type="dxa" w:w="80"/>
              <w:left w:type="dxa" w:w="140"/>
              <w:bottom w:type="dxa" w:w="80"/>
              <w:right w:type="dxa" w:w="140"/>
            </w:tcMar>
          </w:tcPr>
          <w:p>
            <w:r>
              <w:rPr>
                <w:rFonts w:ascii="Arial" w:cs="Arial" w:eastAsia="Arial" w:hAnsi="Arial"/>
                <w:sz w:val="22"/>
                <w:szCs w:val="22"/>
              </w:rPr>
              <w:t xml:space="preserve">Insight Generation</w:t>
            </w:r>
          </w:p>
        </w:tc>
        <w:tc>
          <w:tcPr>
            <w:tcW w:type="dxa" w:w="3213"/>
            <w:tcBorders>
              <w:top w:val="single" w:color="BFBFBF" w:sz="1"/>
              <w:left w:val="single" w:color="BFBFBF" w:sz="1"/>
              <w:bottom w:val="single" w:color="BFBFBF" w:sz="1"/>
              <w:right w:val="single" w:color="BFBFBF" w:sz="1"/>
            </w:tcBorders>
            <w:shd w:fill="F2F7FC" w:val="clear"/>
            <w:tcMar>
              <w:top w:type="dxa" w:w="80"/>
              <w:left w:type="dxa" w:w="140"/>
              <w:bottom w:type="dxa" w:w="80"/>
              <w:right w:type="dxa" w:w="140"/>
            </w:tcMar>
          </w:tcPr>
          <w:p>
            <w:r>
              <w:rPr>
                <w:rFonts w:ascii="Arial" w:cs="Arial" w:eastAsia="Arial" w:hAnsi="Arial"/>
                <w:sz w:val="22"/>
                <w:szCs w:val="22"/>
              </w:rPr>
              <w:t xml:space="preserve">Azure OpenAI (GPT-4o)</w:t>
            </w:r>
          </w:p>
        </w:tc>
        <w:tc>
          <w:tcPr>
            <w:tcW w:type="dxa" w:w="3313"/>
            <w:tcBorders>
              <w:top w:val="single" w:color="BFBFBF" w:sz="1"/>
              <w:left w:val="single" w:color="BFBFBF" w:sz="1"/>
              <w:bottom w:val="single" w:color="BFBFBF" w:sz="1"/>
              <w:right w:val="single" w:color="BFBFBF" w:sz="1"/>
            </w:tcBorders>
            <w:shd w:fill="F2F7FC" w:val="clear"/>
            <w:tcMar>
              <w:top w:type="dxa" w:w="80"/>
              <w:left w:type="dxa" w:w="140"/>
              <w:bottom w:type="dxa" w:w="80"/>
              <w:right w:type="dxa" w:w="140"/>
            </w:tcMar>
          </w:tcPr>
          <w:p>
            <w:r>
              <w:rPr>
                <w:rFonts w:ascii="Arial" w:cs="Arial" w:eastAsia="Arial" w:hAnsi="Arial"/>
                <w:sz w:val="22"/>
                <w:szCs w:val="22"/>
              </w:rPr>
              <w:t xml:space="preserve">Policy brief per provinsi dalam Bahasa Indonesia</w:t>
            </w:r>
          </w:p>
        </w:tc>
      </w:tr>
      <w:tr>
        <w:tc>
          <w:tcPr>
            <w:tcW w:type="dxa" w:w="25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Arial" w:cs="Arial" w:eastAsia="Arial" w:hAnsi="Arial"/>
                <w:sz w:val="22"/>
                <w:szCs w:val="22"/>
              </w:rPr>
              <w:t xml:space="preserve">Deployment</w:t>
            </w:r>
          </w:p>
        </w:tc>
        <w:tc>
          <w:tcPr>
            <w:tcW w:type="dxa" w:w="3213"/>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Arial" w:cs="Arial" w:eastAsia="Arial" w:hAnsi="Arial"/>
                <w:sz w:val="22"/>
                <w:szCs w:val="22"/>
              </w:rPr>
              <w:t xml:space="preserve">Azure App Service</w:t>
            </w:r>
          </w:p>
        </w:tc>
        <w:tc>
          <w:tcPr>
            <w:tcW w:type="dxa" w:w="3313"/>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Arial" w:cs="Arial" w:eastAsia="Arial" w:hAnsi="Arial"/>
                <w:sz w:val="22"/>
                <w:szCs w:val="22"/>
              </w:rPr>
              <w:t xml:space="preserve">Hosting dashboard interaktif vulnerability map</w:t>
            </w:r>
          </w:p>
        </w:tc>
      </w:tr>
      <w:tr>
        <w:tc>
          <w:tcPr>
            <w:tcW w:type="dxa" w:w="2500"/>
            <w:tcBorders>
              <w:top w:val="single" w:color="BFBFBF" w:sz="1"/>
              <w:left w:val="single" w:color="BFBFBF" w:sz="1"/>
              <w:bottom w:val="single" w:color="BFBFBF" w:sz="1"/>
              <w:right w:val="single" w:color="BFBFBF" w:sz="1"/>
            </w:tcBorders>
            <w:shd w:fill="F2F7FC" w:val="clear"/>
            <w:tcMar>
              <w:top w:type="dxa" w:w="80"/>
              <w:left w:type="dxa" w:w="140"/>
              <w:bottom w:type="dxa" w:w="80"/>
              <w:right w:type="dxa" w:w="140"/>
            </w:tcMar>
          </w:tcPr>
          <w:p>
            <w:r>
              <w:rPr>
                <w:rFonts w:ascii="Arial" w:cs="Arial" w:eastAsia="Arial" w:hAnsi="Arial"/>
                <w:sz w:val="22"/>
                <w:szCs w:val="22"/>
              </w:rPr>
              <w:t xml:space="preserve">Monitoring</w:t>
            </w:r>
          </w:p>
        </w:tc>
        <w:tc>
          <w:tcPr>
            <w:tcW w:type="dxa" w:w="3213"/>
            <w:tcBorders>
              <w:top w:val="single" w:color="BFBFBF" w:sz="1"/>
              <w:left w:val="single" w:color="BFBFBF" w:sz="1"/>
              <w:bottom w:val="single" w:color="BFBFBF" w:sz="1"/>
              <w:right w:val="single" w:color="BFBFBF" w:sz="1"/>
            </w:tcBorders>
            <w:shd w:fill="F2F7FC" w:val="clear"/>
            <w:tcMar>
              <w:top w:type="dxa" w:w="80"/>
              <w:left w:type="dxa" w:w="140"/>
              <w:bottom w:type="dxa" w:w="80"/>
              <w:right w:type="dxa" w:w="140"/>
            </w:tcMar>
          </w:tcPr>
          <w:p>
            <w:r>
              <w:rPr>
                <w:rFonts w:ascii="Arial" w:cs="Arial" w:eastAsia="Arial" w:hAnsi="Arial"/>
                <w:sz w:val="22"/>
                <w:szCs w:val="22"/>
              </w:rPr>
              <w:t xml:space="preserve">Azure Monitor</w:t>
            </w:r>
          </w:p>
        </w:tc>
        <w:tc>
          <w:tcPr>
            <w:tcW w:type="dxa" w:w="3313"/>
            <w:tcBorders>
              <w:top w:val="single" w:color="BFBFBF" w:sz="1"/>
              <w:left w:val="single" w:color="BFBFBF" w:sz="1"/>
              <w:bottom w:val="single" w:color="BFBFBF" w:sz="1"/>
              <w:right w:val="single" w:color="BFBFBF" w:sz="1"/>
            </w:tcBorders>
            <w:shd w:fill="F2F7FC" w:val="clear"/>
            <w:tcMar>
              <w:top w:type="dxa" w:w="80"/>
              <w:left w:type="dxa" w:w="140"/>
              <w:bottom w:type="dxa" w:w="80"/>
              <w:right w:type="dxa" w:w="140"/>
            </w:tcMar>
          </w:tcPr>
          <w:p>
            <w:r>
              <w:rPr>
                <w:rFonts w:ascii="Arial" w:cs="Arial" w:eastAsia="Arial" w:hAnsi="Arial"/>
                <w:sz w:val="22"/>
                <w:szCs w:val="22"/>
              </w:rPr>
              <w:t xml:space="preserve">Logging dan monitoring API calls</w:t>
            </w:r>
          </w:p>
        </w:tc>
      </w:tr>
    </w:tbl>
    <w:p>
      <w:pPr>
        <w:spacing w:after="0" w:before="200"/>
      </w:pPr>
    </w:p>
    <w:p>
      <w:pPr>
        <w:spacing w:after="80" w:before="80"/>
      </w:pPr>
      <w:r>
        <w:rPr>
          <w:rFonts w:ascii="Arial" w:cs="Arial" w:eastAsia="Arial" w:hAnsi="Arial"/>
          <w:b/>
          <w:bCs/>
          <w:sz w:val="22"/>
          <w:szCs w:val="22"/>
        </w:rPr>
        <w:t xml:space="preserve">Sumber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2700"/>
        <w:gridCol w:w="2526"/>
      </w:tblGrid>
      <w:tr>
        <w:trPr>
          <w:tblHeader/>
        </w:trPr>
        <w:tc>
          <w:tcPr>
            <w:tcW w:type="dxa" w:w="38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2"/>
                <w:szCs w:val="22"/>
              </w:rPr>
              <w:t xml:space="preserve">Dataset</w:t>
            </w:r>
          </w:p>
        </w:tc>
        <w:tc>
          <w:tcPr>
            <w:tcW w:type="dxa" w:w="27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2"/>
                <w:szCs w:val="22"/>
              </w:rPr>
              <w:t xml:space="preserve">Sumber</w:t>
            </w:r>
          </w:p>
        </w:tc>
        <w:tc>
          <w:tcPr>
            <w:tcW w:type="dxa" w:w="2526"/>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2"/>
                <w:szCs w:val="22"/>
              </w:rPr>
              <w:t xml:space="preserve">Granularitas</w:t>
            </w:r>
          </w:p>
        </w:tc>
      </w:tr>
      <w:tr>
        <w:tc>
          <w:tcPr>
            <w:tcW w:type="dxa" w:w="38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Arial" w:cs="Arial" w:eastAsia="Arial" w:hAnsi="Arial"/>
                <w:sz w:val="22"/>
                <w:szCs w:val="22"/>
              </w:rPr>
              <w:t xml:space="preserve">Inflasi bulanan per provinsi</w:t>
            </w:r>
          </w:p>
        </w:tc>
        <w:tc>
          <w:tcPr>
            <w:tcW w:type="dxa" w:w="27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Arial" w:cs="Arial" w:eastAsia="Arial" w:hAnsi="Arial"/>
                <w:sz w:val="22"/>
                <w:szCs w:val="22"/>
              </w:rPr>
              <w:t xml:space="preserve">BPS WebAPI</w:t>
            </w:r>
          </w:p>
        </w:tc>
        <w:tc>
          <w:tcPr>
            <w:tcW w:type="dxa" w:w="252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Arial" w:cs="Arial" w:eastAsia="Arial" w:hAnsi="Arial"/>
                <w:sz w:val="22"/>
                <w:szCs w:val="22"/>
              </w:rPr>
              <w:t xml:space="preserve">Bulanan</w:t>
            </w:r>
          </w:p>
        </w:tc>
      </w:tr>
      <w:tr>
        <w:tc>
          <w:tcPr>
            <w:tcW w:type="dxa" w:w="3800"/>
            <w:tcBorders>
              <w:top w:val="single" w:color="BFBFBF" w:sz="1"/>
              <w:left w:val="single" w:color="BFBFBF" w:sz="1"/>
              <w:bottom w:val="single" w:color="BFBFBF" w:sz="1"/>
              <w:right w:val="single" w:color="BFBFBF" w:sz="1"/>
            </w:tcBorders>
            <w:shd w:fill="F2F7FC" w:val="clear"/>
            <w:tcMar>
              <w:top w:type="dxa" w:w="80"/>
              <w:left w:type="dxa" w:w="140"/>
              <w:bottom w:type="dxa" w:w="80"/>
              <w:right w:type="dxa" w:w="140"/>
            </w:tcMar>
          </w:tcPr>
          <w:p>
            <w:r>
              <w:rPr>
                <w:rFonts w:ascii="Arial" w:cs="Arial" w:eastAsia="Arial" w:hAnsi="Arial"/>
                <w:sz w:val="22"/>
                <w:szCs w:val="22"/>
              </w:rPr>
              <w:t xml:space="preserve">PDRB per provinsi per sektor (17 sektor KBLI)</w:t>
            </w:r>
          </w:p>
        </w:tc>
        <w:tc>
          <w:tcPr>
            <w:tcW w:type="dxa" w:w="2700"/>
            <w:tcBorders>
              <w:top w:val="single" w:color="BFBFBF" w:sz="1"/>
              <w:left w:val="single" w:color="BFBFBF" w:sz="1"/>
              <w:bottom w:val="single" w:color="BFBFBF" w:sz="1"/>
              <w:right w:val="single" w:color="BFBFBF" w:sz="1"/>
            </w:tcBorders>
            <w:shd w:fill="F2F7FC" w:val="clear"/>
            <w:tcMar>
              <w:top w:type="dxa" w:w="80"/>
              <w:left w:type="dxa" w:w="140"/>
              <w:bottom w:type="dxa" w:w="80"/>
              <w:right w:type="dxa" w:w="140"/>
            </w:tcMar>
          </w:tcPr>
          <w:p>
            <w:r>
              <w:rPr>
                <w:rFonts w:ascii="Arial" w:cs="Arial" w:eastAsia="Arial" w:hAnsi="Arial"/>
                <w:sz w:val="22"/>
                <w:szCs w:val="22"/>
              </w:rPr>
              <w:t xml:space="preserve">BPS WebAPI</w:t>
            </w:r>
          </w:p>
        </w:tc>
        <w:tc>
          <w:tcPr>
            <w:tcW w:type="dxa" w:w="2526"/>
            <w:tcBorders>
              <w:top w:val="single" w:color="BFBFBF" w:sz="1"/>
              <w:left w:val="single" w:color="BFBFBF" w:sz="1"/>
              <w:bottom w:val="single" w:color="BFBFBF" w:sz="1"/>
              <w:right w:val="single" w:color="BFBFBF" w:sz="1"/>
            </w:tcBorders>
            <w:shd w:fill="F2F7FC" w:val="clear"/>
            <w:tcMar>
              <w:top w:type="dxa" w:w="80"/>
              <w:left w:type="dxa" w:w="140"/>
              <w:bottom w:type="dxa" w:w="80"/>
              <w:right w:type="dxa" w:w="140"/>
            </w:tcMar>
          </w:tcPr>
          <w:p>
            <w:r>
              <w:rPr>
                <w:rFonts w:ascii="Arial" w:cs="Arial" w:eastAsia="Arial" w:hAnsi="Arial"/>
                <w:sz w:val="22"/>
                <w:szCs w:val="22"/>
              </w:rPr>
              <w:t xml:space="preserve">Kuartalan / Tahunan</w:t>
            </w:r>
          </w:p>
        </w:tc>
      </w:tr>
      <w:tr>
        <w:tc>
          <w:tcPr>
            <w:tcW w:type="dxa" w:w="38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Arial" w:cs="Arial" w:eastAsia="Arial" w:hAnsi="Arial"/>
                <w:sz w:val="22"/>
                <w:szCs w:val="22"/>
              </w:rPr>
              <w:t xml:space="preserve">Ekspor-impor per provinsi (HS code &amp; negara tujuan)</w:t>
            </w:r>
          </w:p>
        </w:tc>
        <w:tc>
          <w:tcPr>
            <w:tcW w:type="dxa" w:w="27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Arial" w:cs="Arial" w:eastAsia="Arial" w:hAnsi="Arial"/>
                <w:sz w:val="22"/>
                <w:szCs w:val="22"/>
              </w:rPr>
              <w:t xml:space="preserve">BPS WebAPI</w:t>
            </w:r>
          </w:p>
        </w:tc>
        <w:tc>
          <w:tcPr>
            <w:tcW w:type="dxa" w:w="252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Arial" w:cs="Arial" w:eastAsia="Arial" w:hAnsi="Arial"/>
                <w:sz w:val="22"/>
                <w:szCs w:val="22"/>
              </w:rPr>
              <w:t xml:space="preserve">Bulanan</w:t>
            </w:r>
          </w:p>
        </w:tc>
      </w:tr>
      <w:tr>
        <w:tc>
          <w:tcPr>
            <w:tcW w:type="dxa" w:w="3800"/>
            <w:tcBorders>
              <w:top w:val="single" w:color="BFBFBF" w:sz="1"/>
              <w:left w:val="single" w:color="BFBFBF" w:sz="1"/>
              <w:bottom w:val="single" w:color="BFBFBF" w:sz="1"/>
              <w:right w:val="single" w:color="BFBFBF" w:sz="1"/>
            </w:tcBorders>
            <w:shd w:fill="F2F7FC" w:val="clear"/>
            <w:tcMar>
              <w:top w:type="dxa" w:w="80"/>
              <w:left w:type="dxa" w:w="140"/>
              <w:bottom w:type="dxa" w:w="80"/>
              <w:right w:type="dxa" w:w="140"/>
            </w:tcMar>
          </w:tcPr>
          <w:p>
            <w:r>
              <w:rPr>
                <w:rFonts w:ascii="Arial" w:cs="Arial" w:eastAsia="Arial" w:hAnsi="Arial"/>
                <w:sz w:val="22"/>
                <w:szCs w:val="22"/>
              </w:rPr>
              <w:t xml:space="preserve">Tingkat kemiskinan &amp; Gini ratio</w:t>
            </w:r>
          </w:p>
        </w:tc>
        <w:tc>
          <w:tcPr>
            <w:tcW w:type="dxa" w:w="2700"/>
            <w:tcBorders>
              <w:top w:val="single" w:color="BFBFBF" w:sz="1"/>
              <w:left w:val="single" w:color="BFBFBF" w:sz="1"/>
              <w:bottom w:val="single" w:color="BFBFBF" w:sz="1"/>
              <w:right w:val="single" w:color="BFBFBF" w:sz="1"/>
            </w:tcBorders>
            <w:shd w:fill="F2F7FC" w:val="clear"/>
            <w:tcMar>
              <w:top w:type="dxa" w:w="80"/>
              <w:left w:type="dxa" w:w="140"/>
              <w:bottom w:type="dxa" w:w="80"/>
              <w:right w:type="dxa" w:w="140"/>
            </w:tcMar>
          </w:tcPr>
          <w:p>
            <w:r>
              <w:rPr>
                <w:rFonts w:ascii="Arial" w:cs="Arial" w:eastAsia="Arial" w:hAnsi="Arial"/>
                <w:sz w:val="22"/>
                <w:szCs w:val="22"/>
              </w:rPr>
              <w:t xml:space="preserve">BPS</w:t>
            </w:r>
          </w:p>
        </w:tc>
        <w:tc>
          <w:tcPr>
            <w:tcW w:type="dxa" w:w="2526"/>
            <w:tcBorders>
              <w:top w:val="single" w:color="BFBFBF" w:sz="1"/>
              <w:left w:val="single" w:color="BFBFBF" w:sz="1"/>
              <w:bottom w:val="single" w:color="BFBFBF" w:sz="1"/>
              <w:right w:val="single" w:color="BFBFBF" w:sz="1"/>
            </w:tcBorders>
            <w:shd w:fill="F2F7FC" w:val="clear"/>
            <w:tcMar>
              <w:top w:type="dxa" w:w="80"/>
              <w:left w:type="dxa" w:w="140"/>
              <w:bottom w:type="dxa" w:w="80"/>
              <w:right w:type="dxa" w:w="140"/>
            </w:tcMar>
          </w:tcPr>
          <w:p>
            <w:r>
              <w:rPr>
                <w:rFonts w:ascii="Arial" w:cs="Arial" w:eastAsia="Arial" w:hAnsi="Arial"/>
                <w:sz w:val="22"/>
                <w:szCs w:val="22"/>
              </w:rPr>
              <w:t xml:space="preserve">Tahunan</w:t>
            </w:r>
          </w:p>
        </w:tc>
      </w:tr>
      <w:tr>
        <w:tc>
          <w:tcPr>
            <w:tcW w:type="dxa" w:w="38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Arial" w:cs="Arial" w:eastAsia="Arial" w:hAnsi="Arial"/>
                <w:sz w:val="22"/>
                <w:szCs w:val="22"/>
              </w:rPr>
              <w:t xml:space="preserve">Ketenagakerjaan per sektor per provinsi (Sakernas)</w:t>
            </w:r>
          </w:p>
        </w:tc>
        <w:tc>
          <w:tcPr>
            <w:tcW w:type="dxa" w:w="27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Arial" w:cs="Arial" w:eastAsia="Arial" w:hAnsi="Arial"/>
                <w:sz w:val="22"/>
                <w:szCs w:val="22"/>
              </w:rPr>
              <w:t xml:space="preserve">BPS WebAPI</w:t>
            </w:r>
          </w:p>
        </w:tc>
        <w:tc>
          <w:tcPr>
            <w:tcW w:type="dxa" w:w="252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Arial" w:cs="Arial" w:eastAsia="Arial" w:hAnsi="Arial"/>
                <w:sz w:val="22"/>
                <w:szCs w:val="22"/>
              </w:rPr>
              <w:t xml:space="preserve">Tahunan</w:t>
            </w:r>
          </w:p>
        </w:tc>
      </w:tr>
      <w:tr>
        <w:tc>
          <w:tcPr>
            <w:tcW w:type="dxa" w:w="3800"/>
            <w:tcBorders>
              <w:top w:val="single" w:color="BFBFBF" w:sz="1"/>
              <w:left w:val="single" w:color="BFBFBF" w:sz="1"/>
              <w:bottom w:val="single" w:color="BFBFBF" w:sz="1"/>
              <w:right w:val="single" w:color="BFBFBF" w:sz="1"/>
            </w:tcBorders>
            <w:shd w:fill="F2F7FC" w:val="clear"/>
            <w:tcMar>
              <w:top w:type="dxa" w:w="80"/>
              <w:left w:type="dxa" w:w="140"/>
              <w:bottom w:type="dxa" w:w="80"/>
              <w:right w:type="dxa" w:w="140"/>
            </w:tcMar>
          </w:tcPr>
          <w:p>
            <w:r>
              <w:rPr>
                <w:rFonts w:ascii="Arial" w:cs="Arial" w:eastAsia="Arial" w:hAnsi="Arial"/>
                <w:sz w:val="22"/>
                <w:szCs w:val="22"/>
              </w:rPr>
              <w:t xml:space="preserve">Harga komoditas global (minyak, sawit, nikel, batu bara, timah)</w:t>
            </w:r>
          </w:p>
        </w:tc>
        <w:tc>
          <w:tcPr>
            <w:tcW w:type="dxa" w:w="2700"/>
            <w:tcBorders>
              <w:top w:val="single" w:color="BFBFBF" w:sz="1"/>
              <w:left w:val="single" w:color="BFBFBF" w:sz="1"/>
              <w:bottom w:val="single" w:color="BFBFBF" w:sz="1"/>
              <w:right w:val="single" w:color="BFBFBF" w:sz="1"/>
            </w:tcBorders>
            <w:shd w:fill="F2F7FC" w:val="clear"/>
            <w:tcMar>
              <w:top w:type="dxa" w:w="80"/>
              <w:left w:type="dxa" w:w="140"/>
              <w:bottom w:type="dxa" w:w="80"/>
              <w:right w:type="dxa" w:w="140"/>
            </w:tcMar>
          </w:tcPr>
          <w:p>
            <w:r>
              <w:rPr>
                <w:rFonts w:ascii="Arial" w:cs="Arial" w:eastAsia="Arial" w:hAnsi="Arial"/>
                <w:sz w:val="22"/>
                <w:szCs w:val="22"/>
              </w:rPr>
              <w:t xml:space="preserve">World Bank Pink Sheet</w:t>
            </w:r>
          </w:p>
        </w:tc>
        <w:tc>
          <w:tcPr>
            <w:tcW w:type="dxa" w:w="2526"/>
            <w:tcBorders>
              <w:top w:val="single" w:color="BFBFBF" w:sz="1"/>
              <w:left w:val="single" w:color="BFBFBF" w:sz="1"/>
              <w:bottom w:val="single" w:color="BFBFBF" w:sz="1"/>
              <w:right w:val="single" w:color="BFBFBF" w:sz="1"/>
            </w:tcBorders>
            <w:shd w:fill="F2F7FC" w:val="clear"/>
            <w:tcMar>
              <w:top w:type="dxa" w:w="80"/>
              <w:left w:type="dxa" w:w="140"/>
              <w:bottom w:type="dxa" w:w="80"/>
              <w:right w:type="dxa" w:w="140"/>
            </w:tcMar>
          </w:tcPr>
          <w:p>
            <w:r>
              <w:rPr>
                <w:rFonts w:ascii="Arial" w:cs="Arial" w:eastAsia="Arial" w:hAnsi="Arial"/>
                <w:sz w:val="22"/>
                <w:szCs w:val="22"/>
              </w:rPr>
              <w:t xml:space="preserve">Bulanan</w:t>
            </w:r>
          </w:p>
        </w:tc>
      </w:tr>
      <w:tr>
        <w:tc>
          <w:tcPr>
            <w:tcW w:type="dxa" w:w="38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Arial" w:cs="Arial" w:eastAsia="Arial" w:hAnsi="Arial"/>
                <w:sz w:val="22"/>
                <w:szCs w:val="22"/>
              </w:rPr>
              <w:t xml:space="preserve">Indeks komoditas &amp; kurs USD/IDR</w:t>
            </w:r>
          </w:p>
        </w:tc>
        <w:tc>
          <w:tcPr>
            <w:tcW w:type="dxa" w:w="27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Arial" w:cs="Arial" w:eastAsia="Arial" w:hAnsi="Arial"/>
                <w:sz w:val="22"/>
                <w:szCs w:val="22"/>
              </w:rPr>
              <w:t xml:space="preserve">FRED API (St. Louis Fed)</w:t>
            </w:r>
          </w:p>
        </w:tc>
        <w:tc>
          <w:tcPr>
            <w:tcW w:type="dxa" w:w="252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Arial" w:cs="Arial" w:eastAsia="Arial" w:hAnsi="Arial"/>
                <w:sz w:val="22"/>
                <w:szCs w:val="22"/>
              </w:rPr>
              <w:t xml:space="preserve">Harian / Bulanan</w:t>
            </w:r>
          </w:p>
        </w:tc>
      </w:tr>
      <w:tr>
        <w:tc>
          <w:tcPr>
            <w:tcW w:type="dxa" w:w="3800"/>
            <w:tcBorders>
              <w:top w:val="single" w:color="BFBFBF" w:sz="1"/>
              <w:left w:val="single" w:color="BFBFBF" w:sz="1"/>
              <w:bottom w:val="single" w:color="BFBFBF" w:sz="1"/>
              <w:right w:val="single" w:color="BFBFBF" w:sz="1"/>
            </w:tcBorders>
            <w:shd w:fill="F2F7FC" w:val="clear"/>
            <w:tcMar>
              <w:top w:type="dxa" w:w="80"/>
              <w:left w:type="dxa" w:w="140"/>
              <w:bottom w:type="dxa" w:w="80"/>
              <w:right w:type="dxa" w:w="140"/>
            </w:tcMar>
          </w:tcPr>
          <w:p>
            <w:r>
              <w:rPr>
                <w:rFonts w:ascii="Arial" w:cs="Arial" w:eastAsia="Arial" w:hAnsi="Arial"/>
                <w:sz w:val="22"/>
                <w:szCs w:val="22"/>
              </w:rPr>
              <w:t xml:space="preserve">Harga minyak Brent &amp; WTI harian</w:t>
            </w:r>
          </w:p>
        </w:tc>
        <w:tc>
          <w:tcPr>
            <w:tcW w:type="dxa" w:w="2700"/>
            <w:tcBorders>
              <w:top w:val="single" w:color="BFBFBF" w:sz="1"/>
              <w:left w:val="single" w:color="BFBFBF" w:sz="1"/>
              <w:bottom w:val="single" w:color="BFBFBF" w:sz="1"/>
              <w:right w:val="single" w:color="BFBFBF" w:sz="1"/>
            </w:tcBorders>
            <w:shd w:fill="F2F7FC" w:val="clear"/>
            <w:tcMar>
              <w:top w:type="dxa" w:w="80"/>
              <w:left w:type="dxa" w:w="140"/>
              <w:bottom w:type="dxa" w:w="80"/>
              <w:right w:type="dxa" w:w="140"/>
            </w:tcMar>
          </w:tcPr>
          <w:p>
            <w:r>
              <w:rPr>
                <w:rFonts w:ascii="Arial" w:cs="Arial" w:eastAsia="Arial" w:hAnsi="Arial"/>
                <w:sz w:val="22"/>
                <w:szCs w:val="22"/>
              </w:rPr>
              <w:t xml:space="preserve">Yahoo Finance</w:t>
            </w:r>
          </w:p>
        </w:tc>
        <w:tc>
          <w:tcPr>
            <w:tcW w:type="dxa" w:w="2526"/>
            <w:tcBorders>
              <w:top w:val="single" w:color="BFBFBF" w:sz="1"/>
              <w:left w:val="single" w:color="BFBFBF" w:sz="1"/>
              <w:bottom w:val="single" w:color="BFBFBF" w:sz="1"/>
              <w:right w:val="single" w:color="BFBFBF" w:sz="1"/>
            </w:tcBorders>
            <w:shd w:fill="F2F7FC" w:val="clear"/>
            <w:tcMar>
              <w:top w:type="dxa" w:w="80"/>
              <w:left w:type="dxa" w:w="140"/>
              <w:bottom w:type="dxa" w:w="80"/>
              <w:right w:type="dxa" w:w="140"/>
            </w:tcMar>
          </w:tcPr>
          <w:p>
            <w:r>
              <w:rPr>
                <w:rFonts w:ascii="Arial" w:cs="Arial" w:eastAsia="Arial" w:hAnsi="Arial"/>
                <w:sz w:val="22"/>
                <w:szCs w:val="22"/>
              </w:rPr>
              <w:t xml:space="preserve">Harian</w:t>
            </w:r>
          </w:p>
        </w:tc>
      </w:tr>
      <w:tr>
        <w:tc>
          <w:tcPr>
            <w:tcW w:type="dxa" w:w="38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Arial" w:cs="Arial" w:eastAsia="Arial" w:hAnsi="Arial"/>
                <w:sz w:val="22"/>
                <w:szCs w:val="22"/>
              </w:rPr>
              <w:t xml:space="preserve">Kurs USD/IDR harian</w:t>
            </w:r>
          </w:p>
        </w:tc>
        <w:tc>
          <w:tcPr>
            <w:tcW w:type="dxa" w:w="270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Arial" w:cs="Arial" w:eastAsia="Arial" w:hAnsi="Arial"/>
                <w:sz w:val="22"/>
                <w:szCs w:val="22"/>
              </w:rPr>
              <w:t xml:space="preserve">Yahoo Finance / Bank Indonesia</w:t>
            </w:r>
          </w:p>
        </w:tc>
        <w:tc>
          <w:tcPr>
            <w:tcW w:type="dxa" w:w="252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rFonts w:ascii="Arial" w:cs="Arial" w:eastAsia="Arial" w:hAnsi="Arial"/>
                <w:sz w:val="22"/>
                <w:szCs w:val="22"/>
              </w:rPr>
              <w:t xml:space="preserve">Harian</w:t>
            </w:r>
          </w:p>
        </w:tc>
      </w:tr>
    </w:tbl>
    <w:p>
      <w:pPr>
        <w:spacing w:after="0" w:before="200"/>
      </w:pPr>
    </w:p>
    <w:p>
      <w:pPr>
        <w:spacing w:after="80" w:before="80"/>
      </w:pPr>
      <w:r>
        <w:rPr>
          <w:rFonts w:ascii="Arial" w:cs="Arial" w:eastAsia="Arial" w:hAnsi="Arial"/>
          <w:b/>
          <w:bCs/>
          <w:sz w:val="22"/>
          <w:szCs w:val="22"/>
        </w:rPr>
        <w:t xml:space="preserve">Rencana Pengembangan ke Depan:</w:t>
      </w:r>
    </w:p>
    <w:p>
      <w:pPr>
        <w:pStyle w:val="ListParagraph"/>
        <w:numPr>
          <w:ilvl w:val="0"/>
          <w:numId w:val="3"/>
        </w:numPr>
        <w:spacing w:after="50" w:before="50"/>
      </w:pPr>
      <w:r>
        <w:rPr>
          <w:rFonts w:ascii="Arial" w:cs="Arial" w:eastAsia="Arial" w:hAnsi="Arial"/>
          <w:sz w:val="22"/>
          <w:szCs w:val="22"/>
        </w:rPr>
        <w:t xml:space="preserve">Integrasi data real-time untuk early warning system berbasis guncangan harga komoditas</w:t>
      </w:r>
    </w:p>
    <w:p>
      <w:pPr>
        <w:pStyle w:val="ListParagraph"/>
        <w:numPr>
          <w:ilvl w:val="0"/>
          <w:numId w:val="3"/>
        </w:numPr>
        <w:spacing w:after="50" w:before="50"/>
      </w:pPr>
      <w:r>
        <w:rPr>
          <w:rFonts w:ascii="Arial" w:cs="Arial" w:eastAsia="Arial" w:hAnsi="Arial"/>
          <w:sz w:val="22"/>
          <w:szCs w:val="22"/>
        </w:rPr>
        <w:t xml:space="preserve">Perluasan analisis ke level kabupaten/kota (Tier 2)</w:t>
      </w:r>
    </w:p>
    <w:p>
      <w:pPr>
        <w:pStyle w:val="ListParagraph"/>
        <w:numPr>
          <w:ilvl w:val="0"/>
          <w:numId w:val="3"/>
        </w:numPr>
        <w:spacing w:after="50" w:before="50"/>
      </w:pPr>
      <w:r>
        <w:rPr>
          <w:rFonts w:ascii="Arial" w:cs="Arial" w:eastAsia="Arial" w:hAnsi="Arial"/>
          <w:sz w:val="22"/>
          <w:szCs w:val="22"/>
        </w:rPr>
        <w:t xml:space="preserve">API endpoint terbuka untuk integrasi dengan sistem perencanaan pemerintah daerah</w:t>
      </w:r>
    </w:p>
    <w:p>
      <w:pPr>
        <w:pStyle w:val="ListParagraph"/>
        <w:numPr>
          <w:ilvl w:val="0"/>
          <w:numId w:val="3"/>
        </w:numPr>
        <w:spacing w:after="50" w:before="50"/>
      </w:pPr>
      <w:r>
        <w:rPr>
          <w:rFonts w:ascii="Arial" w:cs="Arial" w:eastAsia="Arial" w:hAnsi="Arial"/>
          <w:sz w:val="22"/>
          <w:szCs w:val="22"/>
        </w:rPr>
        <w:t xml:space="preserve">Pembaruan otomatis skor kerentanan setiap bulan menggunakan Azure Scheduler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4" w:space="4"/>
      </w:pBdr>
      <w:jc w:val="center"/>
    </w:pPr>
    <w:r>
      <w:rPr>
        <w:rFonts w:ascii="Arial" w:cs="Arial" w:eastAsia="Arial" w:hAnsi="Arial"/>
        <w:color w:val="999999"/>
        <w:sz w:val="18"/>
        <w:szCs w:val="18"/>
      </w:rPr>
      <w:t xml:space="preserve">Ekonomi Digital &amp; Inklusi Keuangan  |  Indonesia 2026</w:t>
    </w:r>
    <w:r>
      <w:rPr>
        <w:rFonts w:ascii="Arial" w:cs="Arial" w:eastAsia="Arial" w:hAnsi="Arial"/>
        <w:color w:val="999999"/>
        <w:sz w:val="18"/>
        <w:szCs w:val="18"/>
      </w:rPr>
      <w:t xml:space="preserve">   Hal.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jc w:val="right"/>
    </w:pPr>
    <w:r>
      <w:rPr>
        <w:rFonts w:ascii="Arial" w:cs="Arial" w:eastAsia="Arial" w:hAnsi="Arial"/>
        <w:b/>
        <w:bCs/>
        <w:color w:val="1F4E79"/>
        <w:sz w:val="20"/>
        <w:szCs w:val="20"/>
      </w:rPr>
      <w:t xml:space="preserve">SHIELD-ID  |  Project Brief — Datathon METC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2026-04-23T12:38:26.447Z</dcterms:created>
  <dcterms:modified xsi:type="dcterms:W3CDTF">2026-04-23T12:38:26.448Z</dcterms:modified>
</cp:coreProperties>
</file>

<file path=docProps/custom.xml><?xml version="1.0" encoding="utf-8"?>
<Properties xmlns="http://schemas.openxmlformats.org/officeDocument/2006/custom-properties" xmlns:vt="http://schemas.openxmlformats.org/officeDocument/2006/docPropsVTypes"/>
</file>