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 - 2 | Section B | CSE4204 | Sp20 | GLSL Attribute, Uniform and Varying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5YpoQmXq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