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78EA1">
      <w:pPr>
        <w:pStyle w:val="6"/>
      </w:pPr>
      <w:r>
        <w:t xml:space="preserve">Gold Price &amp; Sales Trend Analysis </w:t>
      </w:r>
      <w:r>
        <w:rPr>
          <w:spacing w:val="-2"/>
        </w:rPr>
        <w:t>(2021–2025)</w:t>
      </w:r>
    </w:p>
    <w:p w14:paraId="4618DF73">
      <w:pPr>
        <w:pStyle w:val="5"/>
        <w:spacing w:before="274"/>
        <w:rPr>
          <w:rFonts w:ascii="Arial"/>
          <w:b/>
          <w:sz w:val="36"/>
        </w:rPr>
      </w:pPr>
    </w:p>
    <w:p w14:paraId="42A82F43">
      <w:pPr>
        <w:pStyle w:val="5"/>
        <w:jc w:val="both"/>
      </w:pPr>
      <w:r>
        <w:t xml:space="preserve">Name: Akhil Reddy </w:t>
      </w:r>
      <w:r>
        <w:rPr>
          <w:spacing w:val="-2"/>
        </w:rPr>
        <w:t>Nakkala</w:t>
      </w:r>
    </w:p>
    <w:p w14:paraId="5D5485DE">
      <w:pPr>
        <w:pStyle w:val="5"/>
        <w:spacing w:before="130" w:line="376" w:lineRule="auto"/>
        <w:ind w:right="4738"/>
      </w:pPr>
      <w:r>
        <w:t>Project:</w:t>
      </w:r>
      <w:r>
        <w:rPr>
          <w:rFonts w:hint="default"/>
          <w:lang w:val="en-US"/>
        </w:rPr>
        <w:t>Gold price &amp; Trend analysis</w:t>
      </w:r>
      <w:r>
        <w:rPr>
          <w:spacing w:val="-6"/>
        </w:rPr>
        <w:t xml:space="preserve"> </w:t>
      </w:r>
      <w:r>
        <w:t xml:space="preserve"> </w:t>
      </w:r>
      <w:r>
        <w:rPr>
          <w:rFonts w:hint="default"/>
          <w:lang w:val="en-US"/>
        </w:rPr>
        <w:t xml:space="preserve">Company Name:Inno </w:t>
      </w:r>
      <w:r>
        <w:t>Fortune IT</w:t>
      </w:r>
      <w:r>
        <w:rPr>
          <w:rFonts w:hint="default"/>
          <w:lang w:val="en-US"/>
        </w:rPr>
        <w:t xml:space="preserve">        Role:Data Analyst</w:t>
      </w:r>
      <w:r>
        <w:t xml:space="preserve"> </w:t>
      </w:r>
    </w:p>
    <w:p w14:paraId="2FC67273">
      <w:pPr>
        <w:pStyle w:val="5"/>
        <w:spacing w:line="228" w:lineRule="exact"/>
      </w:pPr>
      <w:r>
        <w:t xml:space="preserve">Date: February </w:t>
      </w:r>
      <w:r>
        <w:rPr>
          <w:spacing w:val="-4"/>
        </w:rPr>
        <w:t>2026</w:t>
      </w:r>
    </w:p>
    <w:p w14:paraId="335F5658">
      <w:pPr>
        <w:pStyle w:val="5"/>
      </w:pPr>
    </w:p>
    <w:p w14:paraId="7BD3C626">
      <w:pPr>
        <w:pStyle w:val="5"/>
      </w:pPr>
    </w:p>
    <w:p w14:paraId="71076156">
      <w:pPr>
        <w:pStyle w:val="5"/>
      </w:pPr>
    </w:p>
    <w:p w14:paraId="11A24D0F">
      <w:pPr>
        <w:pStyle w:val="5"/>
      </w:pPr>
    </w:p>
    <w:p w14:paraId="430DE0D4">
      <w:pPr>
        <w:pStyle w:val="5"/>
      </w:pPr>
    </w:p>
    <w:p w14:paraId="63651B64">
      <w:pPr>
        <w:pStyle w:val="5"/>
        <w:spacing w:before="27"/>
      </w:pPr>
    </w:p>
    <w:p w14:paraId="688692E9">
      <w:pPr>
        <w:pStyle w:val="2"/>
      </w:pPr>
      <w:r>
        <w:rPr>
          <w:spacing w:val="-2"/>
        </w:rPr>
        <w:t>Abstract</w:t>
      </w:r>
    </w:p>
    <w:p w14:paraId="052EF110">
      <w:pPr>
        <w:pStyle w:val="5"/>
        <w:spacing w:before="239"/>
        <w:rPr>
          <w:rFonts w:ascii="Arial"/>
          <w:b/>
          <w:sz w:val="28"/>
        </w:rPr>
      </w:pPr>
    </w:p>
    <w:p w14:paraId="2E7F007F">
      <w:pPr>
        <w:pStyle w:val="5"/>
        <w:spacing w:before="1" w:line="249" w:lineRule="auto"/>
        <w:ind w:right="221"/>
      </w:pPr>
      <w:r>
        <w:t>This project analyzes gold price trends and sales patterns over the last five years (2021–2025). 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commodity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MCX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Gold</w:t>
      </w:r>
      <w:r>
        <w:rPr>
          <w:spacing w:val="-3"/>
        </w:rPr>
        <w:t xml:space="preserve"> </w:t>
      </w:r>
      <w:r>
        <w:t xml:space="preserve">Council </w:t>
      </w:r>
      <w:r>
        <w:rPr>
          <w:spacing w:val="-2"/>
        </w:rPr>
        <w:t>publications.</w:t>
      </w:r>
    </w:p>
    <w:p w14:paraId="785FF550">
      <w:pPr>
        <w:pStyle w:val="5"/>
        <w:spacing w:before="2" w:line="249" w:lineRule="auto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fluctuations,</w:t>
      </w:r>
      <w:r>
        <w:rPr>
          <w:spacing w:val="-3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demand,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 xml:space="preserve">growth </w:t>
      </w:r>
      <w:r>
        <w:rPr>
          <w:spacing w:val="-2"/>
        </w:rPr>
        <w:t>patterns.</w:t>
      </w:r>
    </w:p>
    <w:p w14:paraId="60F1723A">
      <w:pPr>
        <w:pStyle w:val="5"/>
        <w:spacing w:before="2" w:line="249" w:lineRule="auto"/>
      </w:pP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Pandas,</w:t>
      </w:r>
      <w:r>
        <w:rPr>
          <w:spacing w:val="-3"/>
        </w:rPr>
        <w:t xml:space="preserve"> </w:t>
      </w:r>
      <w:r>
        <w:t>NumPy,</w:t>
      </w:r>
      <w:r>
        <w:rPr>
          <w:spacing w:val="-3"/>
        </w:rPr>
        <w:t xml:space="preserve"> </w:t>
      </w:r>
      <w:r>
        <w:t>Matplotlib,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visualization.</w:t>
      </w:r>
    </w:p>
    <w:p w14:paraId="542E53D9">
      <w:pPr>
        <w:pStyle w:val="5"/>
        <w:spacing w:before="1" w:line="249" w:lineRule="auto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decisions.</w:t>
      </w:r>
    </w:p>
    <w:p w14:paraId="5167FFFD">
      <w:pPr>
        <w:pStyle w:val="5"/>
      </w:pPr>
    </w:p>
    <w:p w14:paraId="03ADFE8B">
      <w:pPr>
        <w:pStyle w:val="5"/>
        <w:spacing w:before="219"/>
      </w:pPr>
    </w:p>
    <w:p w14:paraId="76A886A9">
      <w:pPr>
        <w:pStyle w:val="2"/>
      </w:pPr>
      <w:r>
        <w:rPr>
          <w:spacing w:val="-2"/>
        </w:rPr>
        <w:t>Introduction</w:t>
      </w:r>
    </w:p>
    <w:p w14:paraId="28BD74F2">
      <w:pPr>
        <w:pStyle w:val="5"/>
        <w:spacing w:before="239"/>
        <w:rPr>
          <w:rFonts w:ascii="Arial"/>
          <w:b/>
          <w:sz w:val="28"/>
        </w:rPr>
      </w:pPr>
    </w:p>
    <w:p w14:paraId="2A467382">
      <w:pPr>
        <w:pStyle w:val="5"/>
        <w:spacing w:line="249" w:lineRule="auto"/>
      </w:pPr>
      <w:r>
        <w:t>Gold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stable</w:t>
      </w:r>
      <w:r>
        <w:rPr>
          <w:spacing w:val="-2"/>
        </w:rPr>
        <w:t xml:space="preserve"> </w:t>
      </w:r>
      <w:r>
        <w:t>investment</w:t>
      </w:r>
      <w:r>
        <w:rPr>
          <w:spacing w:val="-2"/>
        </w:rPr>
        <w:t xml:space="preserve"> </w:t>
      </w:r>
      <w:r>
        <w:t>assets</w:t>
      </w:r>
      <w:r>
        <w:rPr>
          <w:spacing w:val="-2"/>
        </w:rPr>
        <w:t xml:space="preserve"> </w:t>
      </w:r>
      <w:r>
        <w:t>globally.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India,</w:t>
      </w:r>
      <w:r>
        <w:rPr>
          <w:spacing w:val="-2"/>
        </w:rPr>
        <w:t xml:space="preserve"> </w:t>
      </w:r>
      <w:r>
        <w:t>gold</w:t>
      </w:r>
      <w:r>
        <w:rPr>
          <w:spacing w:val="-2"/>
        </w:rPr>
        <w:t xml:space="preserve"> </w:t>
      </w:r>
      <w:r>
        <w:t>plays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in weddings, festivals,</w:t>
      </w:r>
    </w:p>
    <w:p w14:paraId="7FC1160B">
      <w:pPr>
        <w:pStyle w:val="5"/>
        <w:spacing w:before="2" w:line="249" w:lineRule="auto"/>
      </w:pPr>
      <w:r>
        <w:t>and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savings.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influenced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inflation,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conditions,</w:t>
      </w:r>
      <w:r>
        <w:rPr>
          <w:spacing w:val="-3"/>
        </w:rPr>
        <w:t xml:space="preserve"> </w:t>
      </w:r>
      <w:r>
        <w:t>and central bank policies.</w:t>
      </w:r>
    </w:p>
    <w:p w14:paraId="6E85E7B1">
      <w:pPr>
        <w:pStyle w:val="5"/>
      </w:pPr>
    </w:p>
    <w:p w14:paraId="0DBF6B97">
      <w:pPr>
        <w:pStyle w:val="5"/>
        <w:spacing w:before="218"/>
      </w:pPr>
    </w:p>
    <w:p w14:paraId="32C525BD">
      <w:pPr>
        <w:pStyle w:val="2"/>
      </w:pPr>
      <w:r>
        <w:t xml:space="preserve">Problem </w:t>
      </w:r>
      <w:r>
        <w:rPr>
          <w:spacing w:val="-2"/>
        </w:rPr>
        <w:t>Statement</w:t>
      </w:r>
    </w:p>
    <w:p w14:paraId="3A18A181">
      <w:pPr>
        <w:pStyle w:val="5"/>
        <w:spacing w:before="239"/>
        <w:rPr>
          <w:rFonts w:ascii="Arial"/>
          <w:b/>
          <w:sz w:val="28"/>
        </w:rPr>
      </w:pPr>
    </w:p>
    <w:p w14:paraId="6FF48579">
      <w:pPr>
        <w:pStyle w:val="5"/>
        <w:spacing w:line="249" w:lineRule="auto"/>
        <w:ind w:right="746"/>
      </w:pPr>
      <w:r>
        <w:t>Frequent</w:t>
      </w:r>
      <w:r>
        <w:rPr>
          <w:spacing w:val="-3"/>
        </w:rPr>
        <w:t xml:space="preserve"> </w:t>
      </w:r>
      <w:r>
        <w:t>gold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fluctuations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investors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 long-term trends,</w:t>
      </w:r>
    </w:p>
    <w:p w14:paraId="7D26FFE6">
      <w:pPr>
        <w:pStyle w:val="5"/>
        <w:spacing w:before="2" w:line="249" w:lineRule="auto"/>
        <w:ind w:right="221"/>
      </w:pPr>
      <w:r>
        <w:t>seasonal</w:t>
      </w:r>
      <w:r>
        <w:rPr>
          <w:spacing w:val="-3"/>
        </w:rPr>
        <w:t xml:space="preserve"> </w:t>
      </w:r>
      <w:r>
        <w:t>demand,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price-sales</w:t>
      </w:r>
      <w:r>
        <w:rPr>
          <w:spacing w:val="-3"/>
        </w:rPr>
        <w:t xml:space="preserve"> </w:t>
      </w:r>
      <w:r>
        <w:t>relationships.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last five years.</w:t>
      </w:r>
    </w:p>
    <w:p w14:paraId="5F02280D">
      <w:pPr>
        <w:pStyle w:val="5"/>
        <w:spacing w:after="0" w:line="249" w:lineRule="auto"/>
        <w:sectPr>
          <w:footerReference r:id="rId5" w:type="default"/>
          <w:type w:val="continuous"/>
          <w:pgSz w:w="11910" w:h="16840"/>
          <w:pgMar w:top="1500" w:right="1559" w:bottom="2660" w:left="1559" w:header="0" w:footer="2467" w:gutter="0"/>
          <w:pgNumType w:start="1"/>
          <w:cols w:space="720" w:num="1"/>
        </w:sectPr>
      </w:pPr>
    </w:p>
    <w:p w14:paraId="4BB8F433">
      <w:pPr>
        <w:pStyle w:val="8"/>
        <w:numPr>
          <w:ilvl w:val="0"/>
          <w:numId w:val="1"/>
        </w:numPr>
        <w:tabs>
          <w:tab w:val="left" w:pos="125"/>
        </w:tabs>
        <w:spacing w:before="74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>Analyze</w:t>
      </w:r>
      <w:bookmarkStart w:id="0" w:name="_GoBack"/>
      <w:bookmarkEnd w:id="0"/>
      <w:r>
        <w:rPr>
          <w:sz w:val="20"/>
        </w:rPr>
        <w:t xml:space="preserve"> gold price trends </w:t>
      </w:r>
      <w:r>
        <w:rPr>
          <w:spacing w:val="-2"/>
          <w:sz w:val="20"/>
        </w:rPr>
        <w:t>(2021–2025)</w:t>
      </w:r>
    </w:p>
    <w:p w14:paraId="7A2D21D7">
      <w:pPr>
        <w:pStyle w:val="8"/>
        <w:numPr>
          <w:ilvl w:val="0"/>
          <w:numId w:val="1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Identify yearly growth </w:t>
      </w:r>
      <w:r>
        <w:rPr>
          <w:spacing w:val="-4"/>
          <w:sz w:val="20"/>
        </w:rPr>
        <w:t>rate</w:t>
      </w:r>
    </w:p>
    <w:p w14:paraId="2D548F50">
      <w:pPr>
        <w:pStyle w:val="8"/>
        <w:numPr>
          <w:ilvl w:val="0"/>
          <w:numId w:val="1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Study seasonal </w:t>
      </w:r>
      <w:r>
        <w:rPr>
          <w:spacing w:val="-2"/>
          <w:sz w:val="20"/>
        </w:rPr>
        <w:t>demand</w:t>
      </w:r>
    </w:p>
    <w:p w14:paraId="0542F0AD">
      <w:pPr>
        <w:pStyle w:val="8"/>
        <w:numPr>
          <w:ilvl w:val="0"/>
          <w:numId w:val="1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Compare </w:t>
      </w:r>
      <w:r>
        <w:rPr>
          <w:spacing w:val="-2"/>
          <w:sz w:val="20"/>
        </w:rPr>
        <w:t>volatility</w:t>
      </w:r>
    </w:p>
    <w:p w14:paraId="7C04F221">
      <w:pPr>
        <w:pStyle w:val="8"/>
        <w:numPr>
          <w:ilvl w:val="0"/>
          <w:numId w:val="1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Build </w:t>
      </w:r>
      <w:r>
        <w:rPr>
          <w:spacing w:val="-2"/>
          <w:sz w:val="20"/>
        </w:rPr>
        <w:t>dashboards</w:t>
      </w:r>
    </w:p>
    <w:p w14:paraId="39C18E37">
      <w:pPr>
        <w:pStyle w:val="8"/>
        <w:numPr>
          <w:ilvl w:val="0"/>
          <w:numId w:val="1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Provide investment </w:t>
      </w:r>
      <w:r>
        <w:rPr>
          <w:spacing w:val="-2"/>
          <w:sz w:val="20"/>
        </w:rPr>
        <w:t>insights</w:t>
      </w:r>
    </w:p>
    <w:p w14:paraId="21210214">
      <w:pPr>
        <w:pStyle w:val="5"/>
      </w:pPr>
    </w:p>
    <w:p w14:paraId="190EA19E">
      <w:pPr>
        <w:pStyle w:val="5"/>
        <w:spacing w:before="227"/>
      </w:pPr>
    </w:p>
    <w:p w14:paraId="49A6BD90">
      <w:pPr>
        <w:pStyle w:val="2"/>
      </w:pPr>
      <w:r>
        <w:t xml:space="preserve">Dataset </w:t>
      </w:r>
      <w:r>
        <w:rPr>
          <w:spacing w:val="-2"/>
        </w:rPr>
        <w:t>Description</w:t>
      </w:r>
    </w:p>
    <w:p w14:paraId="122456D3">
      <w:pPr>
        <w:pStyle w:val="5"/>
        <w:spacing w:before="239"/>
        <w:rPr>
          <w:rFonts w:ascii="Arial"/>
          <w:b/>
          <w:sz w:val="28"/>
        </w:rPr>
      </w:pPr>
    </w:p>
    <w:p w14:paraId="5880CA8E">
      <w:pPr>
        <w:pStyle w:val="5"/>
        <w:spacing w:before="1" w:line="249" w:lineRule="auto"/>
        <w:ind w:right="4246"/>
      </w:pPr>
      <w:r>
        <w:t>Source:</w:t>
      </w:r>
      <w:r>
        <w:rPr>
          <w:spacing w:val="-6"/>
        </w:rPr>
        <w:t xml:space="preserve"> </w:t>
      </w:r>
      <w:r>
        <w:t>MCX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Gold</w:t>
      </w:r>
      <w:r>
        <w:rPr>
          <w:spacing w:val="-6"/>
        </w:rPr>
        <w:t xml:space="preserve"> </w:t>
      </w:r>
      <w:r>
        <w:t>Council</w:t>
      </w:r>
      <w:r>
        <w:rPr>
          <w:spacing w:val="-6"/>
        </w:rPr>
        <w:t xml:space="preserve"> </w:t>
      </w:r>
      <w:r>
        <w:t>Reports Format: CSV</w:t>
      </w:r>
    </w:p>
    <w:p w14:paraId="0E3021F8">
      <w:pPr>
        <w:pStyle w:val="5"/>
        <w:spacing w:before="1"/>
      </w:pPr>
      <w:r>
        <w:t xml:space="preserve">Period: </w:t>
      </w:r>
      <w:r>
        <w:rPr>
          <w:spacing w:val="-2"/>
        </w:rPr>
        <w:t>2021–2025</w:t>
      </w:r>
    </w:p>
    <w:p w14:paraId="3F261337">
      <w:pPr>
        <w:pStyle w:val="5"/>
        <w:spacing w:before="10"/>
      </w:pPr>
      <w:r>
        <w:t xml:space="preserve">Fields: Date, Open, Close, High, Low, Volume, </w:t>
      </w:r>
      <w:r>
        <w:rPr>
          <w:spacing w:val="-2"/>
        </w:rPr>
        <w:t>Demand</w:t>
      </w:r>
    </w:p>
    <w:p w14:paraId="142979E4">
      <w:pPr>
        <w:pStyle w:val="5"/>
      </w:pPr>
    </w:p>
    <w:p w14:paraId="783B7109">
      <w:pPr>
        <w:pStyle w:val="5"/>
        <w:spacing w:before="227"/>
      </w:pPr>
    </w:p>
    <w:p w14:paraId="700B4EDC">
      <w:pPr>
        <w:pStyle w:val="2"/>
      </w:pPr>
      <w:r>
        <w:t xml:space="preserve">Tools &amp; </w:t>
      </w:r>
      <w:r>
        <w:rPr>
          <w:spacing w:val="-2"/>
        </w:rPr>
        <w:t>Technologies</w:t>
      </w:r>
    </w:p>
    <w:p w14:paraId="07D8F07E">
      <w:pPr>
        <w:pStyle w:val="5"/>
        <w:spacing w:before="239"/>
        <w:rPr>
          <w:rFonts w:ascii="Arial"/>
          <w:b/>
          <w:sz w:val="28"/>
        </w:rPr>
      </w:pPr>
    </w:p>
    <w:p w14:paraId="6466F27F">
      <w:pPr>
        <w:pStyle w:val="5"/>
        <w:spacing w:line="249" w:lineRule="auto"/>
        <w:ind w:right="6055"/>
      </w:pPr>
      <w:r>
        <w:t>Programming: Python Libraries:</w:t>
      </w:r>
      <w:r>
        <w:rPr>
          <w:spacing w:val="-14"/>
        </w:rPr>
        <w:t xml:space="preserve"> </w:t>
      </w:r>
      <w:r>
        <w:t>Pandas,</w:t>
      </w:r>
      <w:r>
        <w:rPr>
          <w:spacing w:val="-14"/>
        </w:rPr>
        <w:t xml:space="preserve"> </w:t>
      </w:r>
      <w:r>
        <w:t>NumPy Visualization: Matplotlib Dashboard: Power BI</w:t>
      </w:r>
    </w:p>
    <w:p w14:paraId="08AD4E32">
      <w:pPr>
        <w:pStyle w:val="5"/>
        <w:spacing w:before="4"/>
      </w:pPr>
      <w:r>
        <w:t xml:space="preserve">File Handling: </w:t>
      </w:r>
      <w:r>
        <w:rPr>
          <w:spacing w:val="-5"/>
        </w:rPr>
        <w:t>CSV</w:t>
      </w:r>
    </w:p>
    <w:p w14:paraId="50072D25">
      <w:pPr>
        <w:pStyle w:val="5"/>
      </w:pPr>
    </w:p>
    <w:p w14:paraId="23EEC284">
      <w:pPr>
        <w:pStyle w:val="5"/>
        <w:spacing w:before="226"/>
      </w:pPr>
    </w:p>
    <w:p w14:paraId="15FC9E89">
      <w:pPr>
        <w:pStyle w:val="2"/>
        <w:spacing w:before="1"/>
      </w:pPr>
      <w:r>
        <w:rPr>
          <w:spacing w:val="-2"/>
        </w:rPr>
        <w:t>Methodology</w:t>
      </w:r>
    </w:p>
    <w:p w14:paraId="653B3807">
      <w:pPr>
        <w:pStyle w:val="5"/>
        <w:spacing w:before="238"/>
        <w:rPr>
          <w:rFonts w:ascii="Arial"/>
          <w:b/>
          <w:sz w:val="28"/>
        </w:rPr>
      </w:pPr>
    </w:p>
    <w:p w14:paraId="0A5352CA">
      <w:pPr>
        <w:pStyle w:val="8"/>
        <w:numPr>
          <w:ilvl w:val="0"/>
          <w:numId w:val="2"/>
        </w:numPr>
        <w:tabs>
          <w:tab w:val="left" w:pos="222"/>
        </w:tabs>
        <w:spacing w:before="1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 xml:space="preserve">Data </w:t>
      </w:r>
      <w:r>
        <w:rPr>
          <w:spacing w:val="-2"/>
          <w:sz w:val="20"/>
        </w:rPr>
        <w:t>Collection</w:t>
      </w:r>
    </w:p>
    <w:p w14:paraId="088E7AFE">
      <w:pPr>
        <w:pStyle w:val="8"/>
        <w:numPr>
          <w:ilvl w:val="0"/>
          <w:numId w:val="2"/>
        </w:numPr>
        <w:tabs>
          <w:tab w:val="left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 xml:space="preserve">Data </w:t>
      </w:r>
      <w:r>
        <w:rPr>
          <w:spacing w:val="-2"/>
          <w:sz w:val="20"/>
        </w:rPr>
        <w:t>Cleaning</w:t>
      </w:r>
    </w:p>
    <w:p w14:paraId="290581C1">
      <w:pPr>
        <w:pStyle w:val="8"/>
        <w:numPr>
          <w:ilvl w:val="0"/>
          <w:numId w:val="2"/>
        </w:numPr>
        <w:tabs>
          <w:tab w:val="left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 xml:space="preserve">Exploratory Data </w:t>
      </w:r>
      <w:r>
        <w:rPr>
          <w:spacing w:val="-2"/>
          <w:sz w:val="20"/>
        </w:rPr>
        <w:t>Analysis</w:t>
      </w:r>
    </w:p>
    <w:p w14:paraId="22A1CBD4">
      <w:pPr>
        <w:pStyle w:val="8"/>
        <w:numPr>
          <w:ilvl w:val="0"/>
          <w:numId w:val="2"/>
        </w:numPr>
        <w:tabs>
          <w:tab w:val="left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pacing w:val="-2"/>
          <w:sz w:val="20"/>
        </w:rPr>
        <w:t>Visualization</w:t>
      </w:r>
    </w:p>
    <w:p w14:paraId="25277235">
      <w:pPr>
        <w:pStyle w:val="8"/>
        <w:numPr>
          <w:ilvl w:val="0"/>
          <w:numId w:val="2"/>
        </w:numPr>
        <w:tabs>
          <w:tab w:val="left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 xml:space="preserve">Trend </w:t>
      </w:r>
      <w:r>
        <w:rPr>
          <w:spacing w:val="-2"/>
          <w:sz w:val="20"/>
        </w:rPr>
        <w:t>Comparison</w:t>
      </w:r>
    </w:p>
    <w:p w14:paraId="2F05BA9F">
      <w:pPr>
        <w:pStyle w:val="8"/>
        <w:numPr>
          <w:ilvl w:val="0"/>
          <w:numId w:val="2"/>
        </w:numPr>
        <w:tabs>
          <w:tab w:val="left" w:pos="222"/>
        </w:tabs>
        <w:spacing w:before="10" w:after="0" w:line="240" w:lineRule="auto"/>
        <w:ind w:left="222" w:right="0" w:hanging="222"/>
        <w:jc w:val="left"/>
        <w:rPr>
          <w:sz w:val="20"/>
        </w:rPr>
      </w:pPr>
      <w:r>
        <w:rPr>
          <w:sz w:val="20"/>
        </w:rPr>
        <w:t xml:space="preserve">Insight </w:t>
      </w:r>
      <w:r>
        <w:rPr>
          <w:spacing w:val="-2"/>
          <w:sz w:val="20"/>
        </w:rPr>
        <w:t>Generation</w:t>
      </w:r>
    </w:p>
    <w:p w14:paraId="0A72BDB9">
      <w:pPr>
        <w:pStyle w:val="5"/>
      </w:pPr>
    </w:p>
    <w:p w14:paraId="6169DB13">
      <w:pPr>
        <w:pStyle w:val="5"/>
        <w:spacing w:before="227"/>
      </w:pPr>
    </w:p>
    <w:p w14:paraId="2BA75802">
      <w:pPr>
        <w:pStyle w:val="2"/>
      </w:pPr>
      <w:r>
        <w:t xml:space="preserve">Data </w:t>
      </w:r>
      <w:r>
        <w:rPr>
          <w:spacing w:val="-2"/>
        </w:rPr>
        <w:t>Cleaning</w:t>
      </w:r>
    </w:p>
    <w:p w14:paraId="2DC36BB1">
      <w:pPr>
        <w:pStyle w:val="5"/>
        <w:spacing w:before="239"/>
        <w:rPr>
          <w:rFonts w:ascii="Arial"/>
          <w:b/>
          <w:sz w:val="28"/>
        </w:rPr>
      </w:pPr>
    </w:p>
    <w:p w14:paraId="54AD75D8">
      <w:pPr>
        <w:pStyle w:val="8"/>
        <w:numPr>
          <w:ilvl w:val="1"/>
          <w:numId w:val="2"/>
        </w:numPr>
        <w:tabs>
          <w:tab w:val="left" w:pos="125"/>
        </w:tabs>
        <w:spacing w:before="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Removed duplicate </w:t>
      </w:r>
      <w:r>
        <w:rPr>
          <w:spacing w:val="-4"/>
          <w:sz w:val="20"/>
        </w:rPr>
        <w:t>rows</w:t>
      </w:r>
    </w:p>
    <w:p w14:paraId="58C549B5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Handled missing </w:t>
      </w:r>
      <w:r>
        <w:rPr>
          <w:spacing w:val="-2"/>
          <w:sz w:val="20"/>
        </w:rPr>
        <w:t>values</w:t>
      </w:r>
    </w:p>
    <w:p w14:paraId="4D706961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Date-time </w:t>
      </w:r>
      <w:r>
        <w:rPr>
          <w:spacing w:val="-2"/>
          <w:sz w:val="20"/>
        </w:rPr>
        <w:t>conversion</w:t>
      </w:r>
    </w:p>
    <w:p w14:paraId="0797F26D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Outlier removal using IQR </w:t>
      </w:r>
      <w:r>
        <w:rPr>
          <w:spacing w:val="-2"/>
          <w:sz w:val="20"/>
        </w:rPr>
        <w:t>method</w:t>
      </w:r>
    </w:p>
    <w:p w14:paraId="187D8D48">
      <w:pPr>
        <w:pStyle w:val="8"/>
        <w:spacing w:after="0" w:line="240" w:lineRule="auto"/>
        <w:jc w:val="left"/>
        <w:rPr>
          <w:sz w:val="20"/>
        </w:rPr>
        <w:sectPr>
          <w:footerReference r:id="rId6" w:type="default"/>
          <w:pgSz w:w="11910" w:h="16840"/>
          <w:pgMar w:top="1480" w:right="1559" w:bottom="2320" w:left="1559" w:header="0" w:footer="2139" w:gutter="0"/>
          <w:cols w:space="720" w:num="1"/>
        </w:sectPr>
      </w:pPr>
    </w:p>
    <w:p w14:paraId="0166C54F">
      <w:pPr>
        <w:pStyle w:val="8"/>
        <w:numPr>
          <w:ilvl w:val="1"/>
          <w:numId w:val="2"/>
        </w:numPr>
        <w:tabs>
          <w:tab w:val="left" w:pos="125"/>
        </w:tabs>
        <w:spacing w:before="74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Year-wise average price </w:t>
      </w:r>
      <w:r>
        <w:rPr>
          <w:spacing w:val="-2"/>
          <w:sz w:val="20"/>
        </w:rPr>
        <w:t>trend</w:t>
      </w:r>
    </w:p>
    <w:p w14:paraId="43A273AC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Monthly seasonal </w:t>
      </w:r>
      <w:r>
        <w:rPr>
          <w:spacing w:val="-2"/>
          <w:sz w:val="20"/>
        </w:rPr>
        <w:t>demand</w:t>
      </w:r>
    </w:p>
    <w:p w14:paraId="06259145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Volatility </w:t>
      </w:r>
      <w:r>
        <w:rPr>
          <w:spacing w:val="-2"/>
          <w:sz w:val="20"/>
        </w:rPr>
        <w:t>analysis</w:t>
      </w:r>
    </w:p>
    <w:p w14:paraId="4EAB723B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Peak season </w:t>
      </w:r>
      <w:r>
        <w:rPr>
          <w:spacing w:val="-2"/>
          <w:sz w:val="20"/>
        </w:rPr>
        <w:t>identification</w:t>
      </w:r>
    </w:p>
    <w:p w14:paraId="0023D3A0">
      <w:pPr>
        <w:pStyle w:val="5"/>
      </w:pPr>
    </w:p>
    <w:p w14:paraId="78D85AA3">
      <w:pPr>
        <w:pStyle w:val="5"/>
        <w:spacing w:before="227"/>
      </w:pPr>
    </w:p>
    <w:p w14:paraId="479337DF">
      <w:pPr>
        <w:pStyle w:val="2"/>
      </w:pPr>
      <w:r>
        <w:t xml:space="preserve">Insights &amp; </w:t>
      </w:r>
      <w:r>
        <w:rPr>
          <w:spacing w:val="-2"/>
        </w:rPr>
        <w:t>Visualizations</w:t>
      </w:r>
    </w:p>
    <w:p w14:paraId="5D905F6A">
      <w:pPr>
        <w:pStyle w:val="5"/>
        <w:spacing w:before="239"/>
        <w:rPr>
          <w:rFonts w:ascii="Arial"/>
          <w:b/>
          <w:sz w:val="28"/>
        </w:rPr>
      </w:pPr>
    </w:p>
    <w:p w14:paraId="19E26353">
      <w:pPr>
        <w:pStyle w:val="8"/>
        <w:numPr>
          <w:ilvl w:val="1"/>
          <w:numId w:val="2"/>
        </w:numPr>
        <w:tabs>
          <w:tab w:val="left" w:pos="125"/>
        </w:tabs>
        <w:spacing w:before="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35–45% growth over five </w:t>
      </w:r>
      <w:r>
        <w:rPr>
          <w:spacing w:val="-2"/>
          <w:sz w:val="20"/>
        </w:rPr>
        <w:t>years</w:t>
      </w:r>
    </w:p>
    <w:p w14:paraId="05BEFD00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Festival season demand </w:t>
      </w:r>
      <w:r>
        <w:rPr>
          <w:spacing w:val="-2"/>
          <w:sz w:val="20"/>
        </w:rPr>
        <w:t>spike</w:t>
      </w:r>
    </w:p>
    <w:p w14:paraId="3E75F5F2">
      <w:pPr>
        <w:pStyle w:val="8"/>
        <w:numPr>
          <w:ilvl w:val="1"/>
          <w:numId w:val="2"/>
        </w:numPr>
        <w:tabs>
          <w:tab w:val="left" w:pos="125"/>
        </w:tabs>
        <w:spacing w:before="11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Strong long-term investment </w:t>
      </w:r>
      <w:r>
        <w:rPr>
          <w:spacing w:val="-2"/>
          <w:sz w:val="20"/>
        </w:rPr>
        <w:t>trend</w:t>
      </w:r>
    </w:p>
    <w:p w14:paraId="17785CB7">
      <w:pPr>
        <w:pStyle w:val="5"/>
      </w:pPr>
    </w:p>
    <w:p w14:paraId="7E479C72">
      <w:pPr>
        <w:pStyle w:val="5"/>
        <w:spacing w:before="226"/>
      </w:pPr>
    </w:p>
    <w:p w14:paraId="4CAF2CC4">
      <w:pPr>
        <w:pStyle w:val="2"/>
        <w:spacing w:before="1"/>
      </w:pPr>
      <w:r>
        <w:t xml:space="preserve">Results / </w:t>
      </w:r>
      <w:r>
        <w:rPr>
          <w:spacing w:val="-2"/>
        </w:rPr>
        <w:t>Output</w:t>
      </w:r>
    </w:p>
    <w:p w14:paraId="146EB745">
      <w:pPr>
        <w:pStyle w:val="5"/>
        <w:spacing w:before="238"/>
        <w:rPr>
          <w:rFonts w:ascii="Arial"/>
          <w:b/>
          <w:sz w:val="28"/>
        </w:rPr>
      </w:pPr>
    </w:p>
    <w:p w14:paraId="7ADD15BA">
      <w:pPr>
        <w:pStyle w:val="8"/>
        <w:numPr>
          <w:ilvl w:val="1"/>
          <w:numId w:val="2"/>
        </w:numPr>
        <w:tabs>
          <w:tab w:val="left" w:pos="125"/>
        </w:tabs>
        <w:spacing w:before="1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Power BI </w:t>
      </w:r>
      <w:r>
        <w:rPr>
          <w:spacing w:val="-2"/>
          <w:sz w:val="20"/>
        </w:rPr>
        <w:t>Dashboard</w:t>
      </w:r>
    </w:p>
    <w:p w14:paraId="61A3E00D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5-Year Trend </w:t>
      </w:r>
      <w:r>
        <w:rPr>
          <w:spacing w:val="-2"/>
          <w:sz w:val="20"/>
        </w:rPr>
        <w:t>Report</w:t>
      </w:r>
    </w:p>
    <w:p w14:paraId="37836E26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Seasonal Demand </w:t>
      </w:r>
      <w:r>
        <w:rPr>
          <w:spacing w:val="-2"/>
          <w:sz w:val="20"/>
        </w:rPr>
        <w:t>Report</w:t>
      </w:r>
    </w:p>
    <w:p w14:paraId="3BCCB761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Investment </w:t>
      </w:r>
      <w:r>
        <w:rPr>
          <w:spacing w:val="-2"/>
          <w:sz w:val="20"/>
        </w:rPr>
        <w:t>Insights</w:t>
      </w:r>
    </w:p>
    <w:p w14:paraId="401FCA24">
      <w:pPr>
        <w:pStyle w:val="5"/>
      </w:pPr>
    </w:p>
    <w:p w14:paraId="6C7FAD90">
      <w:pPr>
        <w:pStyle w:val="5"/>
        <w:spacing w:before="227"/>
      </w:pPr>
    </w:p>
    <w:p w14:paraId="71388851">
      <w:pPr>
        <w:pStyle w:val="2"/>
      </w:pPr>
      <w:r>
        <w:rPr>
          <w:spacing w:val="-2"/>
        </w:rPr>
        <w:t>Challenges</w:t>
      </w:r>
    </w:p>
    <w:p w14:paraId="31052420">
      <w:pPr>
        <w:pStyle w:val="5"/>
        <w:spacing w:before="239"/>
        <w:rPr>
          <w:rFonts w:ascii="Arial"/>
          <w:b/>
          <w:sz w:val="28"/>
        </w:rPr>
      </w:pPr>
    </w:p>
    <w:p w14:paraId="05030C6E">
      <w:pPr>
        <w:pStyle w:val="8"/>
        <w:numPr>
          <w:ilvl w:val="1"/>
          <w:numId w:val="2"/>
        </w:numPr>
        <w:tabs>
          <w:tab w:val="left" w:pos="125"/>
        </w:tabs>
        <w:spacing w:before="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Missing </w:t>
      </w:r>
      <w:r>
        <w:rPr>
          <w:spacing w:val="-2"/>
          <w:sz w:val="20"/>
        </w:rPr>
        <w:t>values</w:t>
      </w:r>
    </w:p>
    <w:p w14:paraId="3F3F02A0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Data </w:t>
      </w:r>
      <w:r>
        <w:rPr>
          <w:spacing w:val="-2"/>
          <w:sz w:val="20"/>
        </w:rPr>
        <w:t>inconsistency</w:t>
      </w:r>
    </w:p>
    <w:p w14:paraId="6FBF54E5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High </w:t>
      </w:r>
      <w:r>
        <w:rPr>
          <w:spacing w:val="-2"/>
          <w:sz w:val="20"/>
        </w:rPr>
        <w:t>volatility</w:t>
      </w:r>
    </w:p>
    <w:p w14:paraId="295B0D2A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Large dataset </w:t>
      </w:r>
      <w:r>
        <w:rPr>
          <w:spacing w:val="-2"/>
          <w:sz w:val="20"/>
        </w:rPr>
        <w:t>handling</w:t>
      </w:r>
    </w:p>
    <w:p w14:paraId="42647DAD">
      <w:pPr>
        <w:pStyle w:val="5"/>
      </w:pPr>
    </w:p>
    <w:p w14:paraId="11A4096F">
      <w:pPr>
        <w:pStyle w:val="5"/>
        <w:spacing w:before="227"/>
      </w:pPr>
    </w:p>
    <w:p w14:paraId="60DFF45A">
      <w:pPr>
        <w:pStyle w:val="2"/>
      </w:pPr>
      <w:r>
        <w:rPr>
          <w:spacing w:val="-2"/>
        </w:rPr>
        <w:t>Recommendations</w:t>
      </w:r>
    </w:p>
    <w:p w14:paraId="0CBFF223">
      <w:pPr>
        <w:pStyle w:val="5"/>
        <w:spacing w:before="239"/>
        <w:rPr>
          <w:rFonts w:ascii="Arial"/>
          <w:b/>
          <w:sz w:val="28"/>
        </w:rPr>
      </w:pPr>
    </w:p>
    <w:p w14:paraId="60ABFBAB">
      <w:pPr>
        <w:pStyle w:val="8"/>
        <w:numPr>
          <w:ilvl w:val="1"/>
          <w:numId w:val="2"/>
        </w:numPr>
        <w:tabs>
          <w:tab w:val="left" w:pos="125"/>
        </w:tabs>
        <w:spacing w:before="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Long-term investment </w:t>
      </w:r>
      <w:r>
        <w:rPr>
          <w:spacing w:val="-2"/>
          <w:sz w:val="20"/>
        </w:rPr>
        <w:t>strategy</w:t>
      </w:r>
    </w:p>
    <w:p w14:paraId="64FC17F2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Monitor inflation &amp; RBI </w:t>
      </w:r>
      <w:r>
        <w:rPr>
          <w:spacing w:val="-2"/>
          <w:sz w:val="20"/>
        </w:rPr>
        <w:t>policies</w:t>
      </w:r>
    </w:p>
    <w:p w14:paraId="080B18E9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Stock planning before festive </w:t>
      </w:r>
      <w:r>
        <w:rPr>
          <w:spacing w:val="-2"/>
          <w:sz w:val="20"/>
        </w:rPr>
        <w:t>season</w:t>
      </w:r>
    </w:p>
    <w:p w14:paraId="0DBA8E5E">
      <w:pPr>
        <w:pStyle w:val="5"/>
      </w:pPr>
    </w:p>
    <w:p w14:paraId="67E27557">
      <w:pPr>
        <w:pStyle w:val="5"/>
        <w:spacing w:before="227"/>
      </w:pPr>
    </w:p>
    <w:p w14:paraId="54F87A2A">
      <w:pPr>
        <w:pStyle w:val="2"/>
      </w:pPr>
      <w:r>
        <w:rPr>
          <w:spacing w:val="-2"/>
        </w:rPr>
        <w:t>Conclusion</w:t>
      </w:r>
    </w:p>
    <w:p w14:paraId="4A91CE19">
      <w:pPr>
        <w:pStyle w:val="5"/>
        <w:spacing w:before="239"/>
        <w:rPr>
          <w:rFonts w:ascii="Arial"/>
          <w:b/>
          <w:sz w:val="28"/>
        </w:rPr>
      </w:pPr>
    </w:p>
    <w:p w14:paraId="0FD4047D">
      <w:pPr>
        <w:pStyle w:val="5"/>
        <w:spacing w:line="249" w:lineRule="auto"/>
        <w:ind w:right="221"/>
      </w:pPr>
      <w:r>
        <w:t>Gold</w:t>
      </w:r>
      <w:r>
        <w:rPr>
          <w:spacing w:val="-3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patterns. The analysis helps investors and businesses make informed decisions.</w:t>
      </w:r>
    </w:p>
    <w:p w14:paraId="5306ED5B">
      <w:pPr>
        <w:pStyle w:val="5"/>
        <w:spacing w:after="0" w:line="249" w:lineRule="auto"/>
        <w:sectPr>
          <w:footerReference r:id="rId7" w:type="default"/>
          <w:pgSz w:w="11910" w:h="16840"/>
          <w:pgMar w:top="1480" w:right="1559" w:bottom="1960" w:left="1559" w:header="0" w:footer="1779" w:gutter="0"/>
          <w:cols w:space="720" w:num="1"/>
        </w:sectPr>
      </w:pPr>
    </w:p>
    <w:p w14:paraId="72BD057F">
      <w:pPr>
        <w:pStyle w:val="8"/>
        <w:numPr>
          <w:ilvl w:val="1"/>
          <w:numId w:val="2"/>
        </w:numPr>
        <w:tabs>
          <w:tab w:val="left" w:pos="125"/>
        </w:tabs>
        <w:spacing w:before="82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Add forecasting model </w:t>
      </w:r>
      <w:r>
        <w:rPr>
          <w:spacing w:val="-2"/>
          <w:sz w:val="20"/>
        </w:rPr>
        <w:t>(ARIMA/LSTM)</w:t>
      </w:r>
    </w:p>
    <w:p w14:paraId="231ACFCC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Real-time API </w:t>
      </w:r>
      <w:r>
        <w:rPr>
          <w:spacing w:val="-2"/>
          <w:sz w:val="20"/>
        </w:rPr>
        <w:t>integration</w:t>
      </w:r>
    </w:p>
    <w:p w14:paraId="0D0214F9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Automated dashboard </w:t>
      </w:r>
      <w:r>
        <w:rPr>
          <w:spacing w:val="-2"/>
          <w:sz w:val="20"/>
        </w:rPr>
        <w:t>updates</w:t>
      </w:r>
    </w:p>
    <w:p w14:paraId="3B11A977">
      <w:pPr>
        <w:pStyle w:val="8"/>
        <w:numPr>
          <w:ilvl w:val="1"/>
          <w:numId w:val="2"/>
        </w:numPr>
        <w:tabs>
          <w:tab w:val="left" w:pos="125"/>
        </w:tabs>
        <w:spacing w:before="10" w:after="0" w:line="240" w:lineRule="auto"/>
        <w:ind w:left="125" w:right="0" w:hanging="125"/>
        <w:jc w:val="left"/>
        <w:rPr>
          <w:sz w:val="20"/>
        </w:rPr>
      </w:pPr>
      <w:r>
        <w:rPr>
          <w:sz w:val="20"/>
        </w:rPr>
        <w:t xml:space="preserve">Multi-commodity </w:t>
      </w:r>
      <w:r>
        <w:rPr>
          <w:spacing w:val="-2"/>
          <w:sz w:val="20"/>
        </w:rPr>
        <w:t>analysis</w:t>
      </w:r>
    </w:p>
    <w:sectPr>
      <w:footerReference r:id="rId8" w:type="default"/>
      <w:pgSz w:w="11910" w:h="16840"/>
      <w:pgMar w:top="1880" w:right="1559" w:bottom="280" w:left="155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3DB44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8985250</wp:posOffset>
              </wp:positionV>
              <wp:extent cx="925195" cy="2241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4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527F3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Objectives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7pt;margin-top:707.5pt;height:17.65pt;width:72.85pt;mso-position-horizontal-relative:page;mso-position-vertical-relative:page;z-index:-251657216;mso-width-relative:page;mso-height-relative:page;" filled="f" stroked="f" coordsize="21600,21600" o:gfxdata="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O&#10;9sOv2QAAAA0BAAAPAAAAAAAAAAEAIAAAACIAAABkcnMvZG93bnJldi54bWxQSwECFAAUAAAACACH&#10;TuJAiBXmeL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D527F3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Objectives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8D9EE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9193530</wp:posOffset>
              </wp:positionV>
              <wp:extent cx="2229485" cy="22415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2948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769BA2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Exploratory Data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7pt;margin-top:723.9pt;height:17.65pt;width:175.55pt;mso-position-horizontal-relative:page;mso-position-vertical-relative:page;z-index:-251657216;mso-width-relative:page;mso-height-relative:page;" filled="f" stroked="f" coordsize="21600,21600" o:gfxdata="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7xYBDaAAAADQEAAA8AAAAAAAAAAQAgAAAAIgAAAGRycy9kb3ducmV2LnhtbFBLAQIUABQAAAAI&#10;AIdO4kAYLQc6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769BA2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Exploratory Data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Analysis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C2156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9422130</wp:posOffset>
              </wp:positionV>
              <wp:extent cx="1162050" cy="22415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8001D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Future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Scope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7pt;margin-top:741.9pt;height:17.65pt;width:91.5pt;mso-position-horizontal-relative:page;mso-position-vertical-relative:page;z-index:-251656192;mso-width-relative:page;mso-height-relative:page;" filled="f" stroked="f" coordsize="21600,21600" o:gfxdata="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Vk&#10;c+DYAAAADQEAAA8AAAAAAAAAAQAgAAAAIgAAAGRycy9kb3ducmV2LnhtbFBLAQIUABQAAAAIAIdO&#10;4kD3NLIN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C8001D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 xml:space="preserve">Future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Scope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712B7">
    <w:pPr>
      <w:pStyle w:val="5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71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23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75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27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79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31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83" w:hanging="12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727F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4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0"/>
      <w:ind w:left="125" w:hanging="125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2026-02-24T05:02:00Z</dcterms:created>
  <dc:creator>(anonymous)</dc:creator>
  <cp:lastModifiedBy>19-3C0-AKHIL REDDY</cp:lastModifiedBy>
  <dcterms:modified xsi:type="dcterms:W3CDTF">2026-02-24T05:08:24Z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2026-02-24T00:00:00Z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1033-12.2.0.23196</vt:lpwstr>
  </property>
  <property fmtid="{D5CDD505-2E9C-101B-9397-08002B2CF9AE}" pid="7" name="ICV">
    <vt:lpwstr>CCB737261F964DF390EC32689D72A574_12</vt:lpwstr>
  </property>
</Properties>
</file>