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140"/>
        <w:jc w:val="center"/>
      </w:pPr>
      <w:r>
        <w:rPr>
          <w:rFonts w:ascii="Calibri" w:hAnsi="Calibri"/>
          <w:b/>
          <w:color w:val="0B2545"/>
          <w:sz w:val="58"/>
        </w:rPr>
        <w:t>Credit Card Fraud Detection</w:t>
      </w:r>
    </w:p>
    <w:p>
      <w:pPr>
        <w:spacing w:after="440"/>
        <w:jc w:val="center"/>
      </w:pPr>
      <w:r>
        <w:rPr>
          <w:rFonts w:ascii="Calibri" w:hAnsi="Calibri"/>
          <w:i/>
          <w:color w:val="5B6573"/>
          <w:sz w:val="24"/>
        </w:rPr>
        <w:t>End-to-End Data Engineering Pipeline — Project Documentation</w:t>
      </w:r>
    </w:p>
    <w:p>
      <w:pPr>
        <w:spacing w:before="100" w:after="160"/>
        <w:ind w:left="288" w:right="288"/>
        <w:shd w:fill="F3F6FA"/>
      </w:pPr>
      <w:r>
        <w:rPr>
          <w:rFonts w:ascii="Consolas" w:hAnsi="Consolas"/>
          <w:color w:val="0B2545"/>
          <w:sz w:val="19"/>
        </w:rPr>
        <w:t>AWS S3  -&gt;  Databricks Bronze  -&gt;  Databricks Silver  -&gt;  Snowflake RAW  -&gt;  Snowflake Gold  -&gt;  Streamlit</w:t>
      </w:r>
    </w:p>
    <w:tbl>
      <w:tblPr>
        <w:tblStyle w:val="TableGrid"/>
        <w:tblW w:type="dxa" w:w="9120"/>
        <w:tblLayout w:type="fixed"/>
        <w:tblLook w:firstColumn="1" w:firstRow="1" w:lastColumn="0" w:lastRow="0" w:noHBand="0" w:noVBand="1" w:val="04A0"/>
        <w:jc w:val="left"/>
        <w:tblBorders>
          <w:top w:val="single" w:sz="6" w:space="0" w:color="C7D1DE"/>
          <w:left w:val="single" w:sz="6" w:space="0" w:color="C7D1DE"/>
          <w:bottom w:val="single" w:sz="6" w:space="0" w:color="C7D1DE"/>
          <w:right w:val="single" w:sz="6" w:space="0" w:color="C7D1DE"/>
          <w:insideH w:val="single" w:sz="6" w:space="0" w:color="C7D1DE"/>
          <w:insideV w:val="single" w:sz="6" w:space="0" w:color="C7D1DE"/>
        </w:tblBorders>
        <w:tblInd w:w="120" w:type="dxa"/>
      </w:tblPr>
      <w:tblGrid>
        <w:gridCol w:w="4968"/>
        <w:gridCol w:w="4968"/>
      </w:tblGrid>
      <w:tr>
        <w:trPr>
          <w:tblHeader w:val="true"/>
        </w:trPr>
        <w:tc>
          <w:tcPr>
            <w:tcW w:type="dxa" w:w="2200"/>
            <w:tcMar>
              <w:top w:w="80" w:type="dxa"/>
              <w:start w:w="120" w:type="dxa"/>
              <w:bottom w:w="80" w:type="dxa"/>
              <w:end w:w="120" w:type="dxa"/>
            </w:tcMar>
            <w:vAlign w:val="center"/>
            <w:shd w:fill="E8EEF5"/>
          </w:tcPr>
          <w:p>
            <w:pPr>
              <w:spacing w:after="0" w:line="252" w:lineRule="auto"/>
            </w:pPr>
            <w:r/>
            <w:r>
              <w:rPr>
                <w:rFonts w:ascii="Calibri" w:hAnsi="Calibri"/>
                <w:b/>
                <w:color w:val="0B2545"/>
                <w:sz w:val="18"/>
              </w:rPr>
              <w:t>Document item</w:t>
            </w:r>
          </w:p>
        </w:tc>
        <w:tc>
          <w:tcPr>
            <w:tcW w:type="dxa" w:w="6920"/>
            <w:tcMar>
              <w:top w:w="80" w:type="dxa"/>
              <w:start w:w="120" w:type="dxa"/>
              <w:bottom w:w="80" w:type="dxa"/>
              <w:end w:w="120" w:type="dxa"/>
            </w:tcMar>
            <w:vAlign w:val="center"/>
            <w:shd w:fill="E8EEF5"/>
          </w:tcPr>
          <w:p>
            <w:pPr>
              <w:spacing w:after="0" w:line="252" w:lineRule="auto"/>
            </w:pPr>
            <w:r/>
            <w:r>
              <w:rPr>
                <w:rFonts w:ascii="Calibri" w:hAnsi="Calibri"/>
                <w:b/>
                <w:color w:val="0B2545"/>
                <w:sz w:val="18"/>
              </w:rPr>
              <w:t>Value</w:t>
            </w:r>
          </w:p>
        </w:tc>
      </w:tr>
      <w:tr>
        <w:tc>
          <w:tcPr>
            <w:tcW w:type="dxa" w:w="4968"/>
          </w:tcPr>
          <w:p>
            <w:pPr>
              <w:spacing w:after="0" w:line="252" w:lineRule="auto"/>
            </w:pPr>
            <w:r/>
            <w:r>
              <w:rPr>
                <w:rFonts w:ascii="Calibri" w:hAnsi="Calibri"/>
                <w:b w:val="0"/>
                <w:color w:val="000000"/>
                <w:sz w:val="18"/>
              </w:rPr>
              <w:t>Project type</w:t>
            </w:r>
          </w:p>
        </w:tc>
        <w:tc>
          <w:tcPr>
            <w:tcW w:type="dxa" w:w="4968"/>
          </w:tcPr>
          <w:p>
            <w:pPr>
              <w:spacing w:after="0" w:line="252" w:lineRule="auto"/>
            </w:pPr>
            <w:r/>
            <w:r>
              <w:rPr>
                <w:rFonts w:ascii="Calibri" w:hAnsi="Calibri"/>
                <w:b w:val="0"/>
                <w:color w:val="000000"/>
                <w:sz w:val="18"/>
              </w:rPr>
              <w:t>Data engineering capstone; rule-based fraud-review prioritisation</w:t>
            </w:r>
          </w:p>
        </w:tc>
      </w:tr>
      <w:tr>
        <w:tc>
          <w:tcPr>
            <w:tcW w:type="dxa" w:w="4968"/>
          </w:tcPr>
          <w:p>
            <w:pPr>
              <w:spacing w:after="0" w:line="252" w:lineRule="auto"/>
            </w:pPr>
            <w:r/>
            <w:r>
              <w:rPr>
                <w:rFonts w:ascii="Calibri" w:hAnsi="Calibri"/>
                <w:b w:val="0"/>
                <w:color w:val="000000"/>
                <w:sz w:val="18"/>
              </w:rPr>
              <w:t>Core tools</w:t>
            </w:r>
          </w:p>
        </w:tc>
        <w:tc>
          <w:tcPr>
            <w:tcW w:type="dxa" w:w="4968"/>
          </w:tcPr>
          <w:p>
            <w:pPr>
              <w:spacing w:after="0" w:line="252" w:lineRule="auto"/>
            </w:pPr>
            <w:r/>
            <w:r>
              <w:rPr>
                <w:rFonts w:ascii="Calibri" w:hAnsi="Calibri"/>
                <w:b w:val="0"/>
                <w:color w:val="000000"/>
                <w:sz w:val="18"/>
              </w:rPr>
              <w:t>AWS S3, Databricks, Snowflake, Dagster, SQL, Python, Streamlit, Git</w:t>
            </w:r>
          </w:p>
        </w:tc>
      </w:tr>
      <w:tr>
        <w:tc>
          <w:tcPr>
            <w:tcW w:type="dxa" w:w="4968"/>
          </w:tcPr>
          <w:p>
            <w:pPr>
              <w:spacing w:after="0" w:line="252" w:lineRule="auto"/>
            </w:pPr>
            <w:r/>
            <w:r>
              <w:rPr>
                <w:rFonts w:ascii="Calibri" w:hAnsi="Calibri"/>
                <w:b w:val="0"/>
                <w:color w:val="000000"/>
                <w:sz w:val="18"/>
              </w:rPr>
              <w:t>Primary data set</w:t>
            </w:r>
          </w:p>
        </w:tc>
        <w:tc>
          <w:tcPr>
            <w:tcW w:type="dxa" w:w="4968"/>
          </w:tcPr>
          <w:p>
            <w:pPr>
              <w:spacing w:after="0" w:line="252" w:lineRule="auto"/>
            </w:pPr>
            <w:r/>
            <w:r>
              <w:rPr>
                <w:rFonts w:ascii="Calibri" w:hAnsi="Calibri"/>
                <w:b w:val="0"/>
                <w:color w:val="000000"/>
                <w:sz w:val="18"/>
              </w:rPr>
              <w:t>Kaggle ULB Credit Card Fraud Detection (Time, V1–V28, Amount, Class)</w:t>
            </w:r>
          </w:p>
        </w:tc>
      </w:tr>
      <w:tr>
        <w:tc>
          <w:tcPr>
            <w:tcW w:type="dxa" w:w="4968"/>
          </w:tcPr>
          <w:p>
            <w:pPr>
              <w:spacing w:after="0" w:line="252" w:lineRule="auto"/>
            </w:pPr>
            <w:r/>
            <w:r>
              <w:rPr>
                <w:rFonts w:ascii="Calibri" w:hAnsi="Calibri"/>
                <w:b w:val="0"/>
                <w:color w:val="000000"/>
                <w:sz w:val="18"/>
              </w:rPr>
              <w:t>Submission deadline</w:t>
            </w:r>
          </w:p>
        </w:tc>
        <w:tc>
          <w:tcPr>
            <w:tcW w:type="dxa" w:w="4968"/>
          </w:tcPr>
          <w:p>
            <w:pPr>
              <w:spacing w:after="0" w:line="252" w:lineRule="auto"/>
            </w:pPr>
            <w:r/>
            <w:r>
              <w:rPr>
                <w:rFonts w:ascii="Calibri" w:hAnsi="Calibri"/>
                <w:b w:val="0"/>
                <w:color w:val="000000"/>
                <w:sz w:val="18"/>
              </w:rPr>
              <w:t>12 August 2026</w:t>
            </w:r>
          </w:p>
        </w:tc>
      </w:tr>
      <w:tr>
        <w:tc>
          <w:tcPr>
            <w:tcW w:type="dxa" w:w="4968"/>
          </w:tcPr>
          <w:p>
            <w:pPr>
              <w:spacing w:after="0" w:line="252" w:lineRule="auto"/>
            </w:pPr>
            <w:r/>
            <w:r>
              <w:rPr>
                <w:rFonts w:ascii="Calibri" w:hAnsi="Calibri"/>
                <w:b w:val="0"/>
                <w:color w:val="000000"/>
                <w:sz w:val="18"/>
              </w:rPr>
              <w:t>Document purpose</w:t>
            </w:r>
          </w:p>
        </w:tc>
        <w:tc>
          <w:tcPr>
            <w:tcW w:type="dxa" w:w="4968"/>
          </w:tcPr>
          <w:p>
            <w:pPr>
              <w:spacing w:after="0" w:line="252" w:lineRule="auto"/>
            </w:pPr>
            <w:r/>
            <w:r>
              <w:rPr>
                <w:rFonts w:ascii="Calibri" w:hAnsi="Calibri"/>
                <w:b w:val="0"/>
                <w:color w:val="000000"/>
                <w:sz w:val="18"/>
              </w:rPr>
              <w:t>Explain the full implementation, operations, controls, and final outputs.</w:t>
            </w:r>
          </w:p>
        </w:tc>
      </w:tr>
    </w:tbl>
    <w:p>
      <w:pPr>
        <w:spacing w:after="20"/>
      </w:pPr>
    </w:p>
    <w:p/>
    <w:tbl>
      <w:tblPr>
        <w:tblStyle w:val="TableGrid"/>
        <w:tblW w:type="dxa" w:w="9120"/>
        <w:tblLayout w:type="fixed"/>
        <w:tblLook w:firstColumn="1" w:firstRow="1" w:lastColumn="0" w:lastRow="0" w:noHBand="0" w:noVBand="1" w:val="04A0"/>
        <w:jc w:val="left"/>
        <w:tblBorders>
          <w:top w:val="single" w:sz="6" w:space="0" w:color="B9D8D3"/>
          <w:left w:val="single" w:sz="6" w:space="0" w:color="B9D8D3"/>
          <w:bottom w:val="single" w:sz="6" w:space="0" w:color="B9D8D3"/>
          <w:right w:val="single" w:sz="6" w:space="0" w:color="B9D8D3"/>
          <w:insideH w:val="single" w:sz="6" w:space="0" w:color="B9D8D3"/>
          <w:insideV w:val="single" w:sz="6" w:space="0" w:color="B9D8D3"/>
        </w:tblBorders>
        <w:tblInd w:w="120" w:type="dxa"/>
      </w:tblPr>
      <w:tblGrid>
        <w:gridCol w:w="9936"/>
      </w:tblGrid>
      <w:tr>
        <w:tc>
          <w:tcPr>
            <w:tcW w:type="dxa" w:w="9120"/>
            <w:tcMar>
              <w:top w:w="80" w:type="dxa"/>
              <w:start w:w="120" w:type="dxa"/>
              <w:bottom w:w="80" w:type="dxa"/>
              <w:end w:w="120" w:type="dxa"/>
            </w:tcMar>
            <w:vAlign w:val="center"/>
            <w:shd w:fill="FFF7E0"/>
          </w:tcPr>
          <w:p>
            <w:pPr>
              <w:spacing w:after="0" w:line="264" w:lineRule="auto"/>
            </w:pPr>
            <w:r/>
            <w:r>
              <w:rPr>
                <w:b/>
                <w:color w:val="0F766E"/>
              </w:rPr>
              <w:t xml:space="preserve">Important scope note: </w:t>
            </w:r>
            <w:r>
              <w:rPr>
                <w:color w:val="0B2545"/>
              </w:rPr>
              <w:t>This is a data-engineering and operational review-prioritisation pipeline, not a machine-learning fraud model. Class/FRAUD_LABEL is retained only for historical validation and reporting; it is never used to create the review score or review priority.</w:t>
            </w:r>
          </w:p>
        </w:tc>
      </w:tr>
    </w:tbl>
    <w:p>
      <w:pPr>
        <w:spacing w:after="20"/>
      </w:pPr>
    </w:p>
    <w:p>
      <w:r>
        <w:br w:type="page"/>
      </w:r>
    </w:p>
    <w:p>
      <w:pPr>
        <w:pStyle w:val="Heading1"/>
      </w:pPr>
      <w:r>
        <w:t>1. Executive Summary</w:t>
      </w:r>
    </w:p>
    <w:p>
      <w:r>
        <w:t>The project builds an end-to-end, auditable data pipeline for the ULB credit-card transaction data set. Source files arrive in Amazon S3, are ingested into Databricks Bronze and transformed into a clean, analyst-ready Silver table. The Silver data is incrementally loaded to Snowflake RAW. Snowflake Gold tables and an analyst-review view support a native Streamlit dashboard. Dagster orchestrates the complete workflow, monitors new landing files, controls duplicate processing, validates loading results, and archives successfully completed files.</w:t>
      </w:r>
    </w:p>
    <w:tbl>
      <w:tblPr>
        <w:tblStyle w:val="TableGrid"/>
        <w:tblW w:type="dxa" w:w="9120"/>
        <w:tblLayout w:type="fixed"/>
        <w:tblLook w:firstColumn="1" w:firstRow="1" w:lastColumn="0" w:lastRow="0" w:noHBand="0" w:noVBand="1" w:val="04A0"/>
        <w:jc w:val="left"/>
        <w:tblBorders>
          <w:top w:val="single" w:sz="6" w:space="0" w:color="B9D8D3"/>
          <w:left w:val="single" w:sz="6" w:space="0" w:color="B9D8D3"/>
          <w:bottom w:val="single" w:sz="6" w:space="0" w:color="B9D8D3"/>
          <w:right w:val="single" w:sz="6" w:space="0" w:color="B9D8D3"/>
          <w:insideH w:val="single" w:sz="6" w:space="0" w:color="B9D8D3"/>
          <w:insideV w:val="single" w:sz="6" w:space="0" w:color="B9D8D3"/>
        </w:tblBorders>
        <w:tblInd w:w="120" w:type="dxa"/>
      </w:tblPr>
      <w:tblGrid>
        <w:gridCol w:w="9936"/>
      </w:tblGrid>
      <w:tr>
        <w:tc>
          <w:tcPr>
            <w:tcW w:type="dxa" w:w="9120"/>
            <w:tcMar>
              <w:top w:w="80" w:type="dxa"/>
              <w:start w:w="120" w:type="dxa"/>
              <w:bottom w:w="80" w:type="dxa"/>
              <w:end w:w="120" w:type="dxa"/>
            </w:tcMar>
            <w:vAlign w:val="center"/>
            <w:shd w:fill="E6F4F1"/>
          </w:tcPr>
          <w:p>
            <w:pPr>
              <w:spacing w:after="0" w:line="264" w:lineRule="auto"/>
            </w:pPr>
            <w:r/>
            <w:r>
              <w:rPr>
                <w:b/>
                <w:color w:val="0F766E"/>
              </w:rPr>
              <w:t xml:space="preserve">Business outcome: </w:t>
            </w:r>
            <w:r>
              <w:rPr>
                <w:color w:val="0B2545"/>
              </w:rPr>
              <w:t>The pipeline does not assert that a transaction is fraud. It produces a defensible review priority (High, Medium, or Low) using observable transaction patterns so an analyst can examine the most relevant items first.</w:t>
            </w:r>
          </w:p>
        </w:tc>
      </w:tr>
    </w:tbl>
    <w:p>
      <w:pPr>
        <w:spacing w:after="20"/>
      </w:pPr>
    </w:p>
    <w:p>
      <w:pPr>
        <w:pStyle w:val="Heading1"/>
      </w:pPr>
      <w:r>
        <w:t>2. Objective, Scope, and Data Limitations</w:t>
      </w:r>
    </w:p>
    <w:p>
      <w:pPr>
        <w:pStyle w:val="Heading2"/>
      </w:pPr>
      <w:r>
        <w:t>2.1 Objective</w:t>
      </w:r>
    </w:p>
    <w:p>
      <w:r>
        <w:t>Build a reliable and demonstrable data platform that ingests credit-card transactions, preserves raw data, derives review-oriented features, publishes curated analytics, and exposes the results to business users through a dashboard.</w:t>
      </w:r>
    </w:p>
    <w:p>
      <w:pPr>
        <w:pStyle w:val="Heading2"/>
      </w:pPr>
      <w:r>
        <w:t>2.2 What is being built</w:t>
      </w:r>
    </w:p>
    <w:p>
      <w:pPr>
        <w:pStyle w:val="ListBullet"/>
        <w:spacing w:after="60" w:line="276" w:lineRule="auto"/>
        <w:ind w:left="360" w:hanging="259"/>
      </w:pPr>
      <w:r>
        <w:t>Incremental file ingestion from S3 landing into Databricks Bronze.</w:t>
      </w:r>
    </w:p>
    <w:p>
      <w:pPr>
        <w:pStyle w:val="ListBullet"/>
        <w:spacing w:after="60" w:line="276" w:lineRule="auto"/>
        <w:ind w:left="360" w:hanging="259"/>
      </w:pPr>
      <w:r>
        <w:t>Audited and idempotent processing using source metadata, file content SHA-256, batch identifiers, and process-status tables.</w:t>
      </w:r>
    </w:p>
    <w:p>
      <w:pPr>
        <w:pStyle w:val="ListBullet"/>
        <w:spacing w:after="60" w:line="276" w:lineRule="auto"/>
        <w:ind w:left="360" w:hanging="259"/>
      </w:pPr>
      <w:r>
        <w:t>Silver standardisation, exact-row deduplication, and transparent rule-based review features.</w:t>
      </w:r>
    </w:p>
    <w:p>
      <w:pPr>
        <w:pStyle w:val="ListBullet"/>
        <w:spacing w:after="60" w:line="276" w:lineRule="auto"/>
        <w:ind w:left="360" w:hanging="259"/>
      </w:pPr>
      <w:r>
        <w:t>Snowflake RAW storage, Gold analytics outputs, and an analyst review queue.</w:t>
      </w:r>
    </w:p>
    <w:p>
      <w:pPr>
        <w:pStyle w:val="ListBullet"/>
        <w:spacing w:after="60" w:line="276" w:lineRule="auto"/>
        <w:ind w:left="360" w:hanging="259"/>
      </w:pPr>
      <w:r>
        <w:t>Dagster orchestration with sequential dependencies, retries, validation, archive routing, and a new-file sensor.</w:t>
      </w:r>
    </w:p>
    <w:p>
      <w:pPr>
        <w:pStyle w:val="ListBullet"/>
        <w:spacing w:after="60" w:line="276" w:lineRule="auto"/>
        <w:ind w:left="360" w:hanging="259"/>
      </w:pPr>
      <w:r>
        <w:t>A Snowflake-native Streamlit dashboard for operational monitoring and review prioritisation.</w:t>
      </w:r>
    </w:p>
    <w:p>
      <w:pPr>
        <w:pStyle w:val="Heading2"/>
      </w:pPr>
      <w:r>
        <w:t>2.3 Source-data limitations and design response</w:t>
      </w:r>
    </w:p>
    <w:tbl>
      <w:tblPr>
        <w:tblStyle w:val="TableGrid"/>
        <w:tblW w:type="dxa" w:w="9120"/>
        <w:tblLayout w:type="fixed"/>
        <w:tblLook w:firstColumn="1" w:firstRow="1" w:lastColumn="0" w:lastRow="0" w:noHBand="0" w:noVBand="1" w:val="04A0"/>
        <w:jc w:val="left"/>
        <w:tblBorders>
          <w:top w:val="single" w:sz="6" w:space="0" w:color="C7D1DE"/>
          <w:left w:val="single" w:sz="6" w:space="0" w:color="C7D1DE"/>
          <w:bottom w:val="single" w:sz="6" w:space="0" w:color="C7D1DE"/>
          <w:right w:val="single" w:sz="6" w:space="0" w:color="C7D1DE"/>
          <w:insideH w:val="single" w:sz="6" w:space="0" w:color="C7D1DE"/>
          <w:insideV w:val="single" w:sz="6" w:space="0" w:color="C7D1DE"/>
        </w:tblBorders>
        <w:tblInd w:w="120" w:type="dxa"/>
      </w:tblPr>
      <w:tblGrid>
        <w:gridCol w:w="3312"/>
        <w:gridCol w:w="3312"/>
        <w:gridCol w:w="3312"/>
      </w:tblGrid>
      <w:tr>
        <w:trPr>
          <w:tblHeader w:val="true"/>
        </w:trPr>
        <w:tc>
          <w:tcPr>
            <w:tcW w:type="dxa" w:w="2360"/>
            <w:tcMar>
              <w:top w:w="80" w:type="dxa"/>
              <w:start w:w="120" w:type="dxa"/>
              <w:bottom w:w="80" w:type="dxa"/>
              <w:end w:w="120" w:type="dxa"/>
            </w:tcMar>
            <w:vAlign w:val="center"/>
            <w:shd w:fill="E8EEF5"/>
          </w:tcPr>
          <w:p>
            <w:pPr>
              <w:spacing w:after="0" w:line="252" w:lineRule="auto"/>
            </w:pPr>
            <w:r/>
            <w:r>
              <w:rPr>
                <w:rFonts w:ascii="Calibri" w:hAnsi="Calibri"/>
                <w:b/>
                <w:color w:val="0B2545"/>
                <w:sz w:val="18"/>
              </w:rPr>
              <w:t>Source-data fact</w:t>
            </w:r>
          </w:p>
        </w:tc>
        <w:tc>
          <w:tcPr>
            <w:tcW w:type="dxa" w:w="2700"/>
            <w:tcMar>
              <w:top w:w="80" w:type="dxa"/>
              <w:start w:w="120" w:type="dxa"/>
              <w:bottom w:w="80" w:type="dxa"/>
              <w:end w:w="120" w:type="dxa"/>
            </w:tcMar>
            <w:vAlign w:val="center"/>
            <w:shd w:fill="E8EEF5"/>
          </w:tcPr>
          <w:p>
            <w:pPr>
              <w:spacing w:after="0" w:line="252" w:lineRule="auto"/>
            </w:pPr>
            <w:r/>
            <w:r>
              <w:rPr>
                <w:rFonts w:ascii="Calibri" w:hAnsi="Calibri"/>
                <w:b/>
                <w:color w:val="0B2545"/>
                <w:sz w:val="18"/>
              </w:rPr>
              <w:t>Impact</w:t>
            </w:r>
          </w:p>
        </w:tc>
        <w:tc>
          <w:tcPr>
            <w:tcW w:type="dxa" w:w="4060"/>
            <w:tcMar>
              <w:top w:w="80" w:type="dxa"/>
              <w:start w:w="120" w:type="dxa"/>
              <w:bottom w:w="80" w:type="dxa"/>
              <w:end w:w="120" w:type="dxa"/>
            </w:tcMar>
            <w:vAlign w:val="center"/>
            <w:shd w:fill="E8EEF5"/>
          </w:tcPr>
          <w:p>
            <w:pPr>
              <w:spacing w:after="0" w:line="252" w:lineRule="auto"/>
            </w:pPr>
            <w:r/>
            <w:r>
              <w:rPr>
                <w:rFonts w:ascii="Calibri" w:hAnsi="Calibri"/>
                <w:b/>
                <w:color w:val="0B2545"/>
                <w:sz w:val="18"/>
              </w:rPr>
              <w:t>Project response</w:t>
            </w:r>
          </w:p>
        </w:tc>
      </w:tr>
      <w:tr>
        <w:tc>
          <w:tcPr>
            <w:tcW w:type="dxa" w:w="3312"/>
          </w:tcPr>
          <w:p>
            <w:pPr>
              <w:spacing w:after="0" w:line="252" w:lineRule="auto"/>
            </w:pPr>
            <w:r/>
            <w:r>
              <w:rPr>
                <w:rFonts w:ascii="Calibri" w:hAnsi="Calibri"/>
                <w:b w:val="0"/>
                <w:color w:val="000000"/>
                <w:sz w:val="18"/>
              </w:rPr>
              <w:t>V1–V28 are anonymised PCA features</w:t>
            </w:r>
          </w:p>
        </w:tc>
        <w:tc>
          <w:tcPr>
            <w:tcW w:type="dxa" w:w="3312"/>
          </w:tcPr>
          <w:p>
            <w:pPr>
              <w:spacing w:after="0" w:line="252" w:lineRule="auto"/>
            </w:pPr>
            <w:r/>
            <w:r>
              <w:rPr>
                <w:rFonts w:ascii="Calibri" w:hAnsi="Calibri"/>
                <w:b w:val="0"/>
                <w:color w:val="000000"/>
                <w:sz w:val="18"/>
              </w:rPr>
              <w:t>They cannot be explained as customer, card, merchant, or location attributes.</w:t>
            </w:r>
          </w:p>
        </w:tc>
        <w:tc>
          <w:tcPr>
            <w:tcW w:type="dxa" w:w="3312"/>
          </w:tcPr>
          <w:p>
            <w:pPr>
              <w:spacing w:after="0" w:line="252" w:lineRule="auto"/>
            </w:pPr>
            <w:r/>
            <w:r>
              <w:rPr>
                <w:rFonts w:ascii="Calibri" w:hAnsi="Calibri"/>
                <w:b w:val="0"/>
                <w:color w:val="000000"/>
                <w:sz w:val="18"/>
              </w:rPr>
              <w:t>They are preserved. A controlled repeated-anonymised-pattern signal may be used as a technical pattern indicator, not business identity logic.</w:t>
            </w:r>
          </w:p>
        </w:tc>
      </w:tr>
      <w:tr>
        <w:tc>
          <w:tcPr>
            <w:tcW w:type="dxa" w:w="3312"/>
          </w:tcPr>
          <w:p>
            <w:pPr>
              <w:spacing w:after="0" w:line="252" w:lineRule="auto"/>
            </w:pPr>
            <w:r/>
            <w:r>
              <w:rPr>
                <w:rFonts w:ascii="Calibri" w:hAnsi="Calibri"/>
                <w:b w:val="0"/>
                <w:color w:val="000000"/>
                <w:sz w:val="18"/>
              </w:rPr>
              <w:t>Time is elapsed seconds</w:t>
            </w:r>
          </w:p>
        </w:tc>
        <w:tc>
          <w:tcPr>
            <w:tcW w:type="dxa" w:w="3312"/>
          </w:tcPr>
          <w:p>
            <w:pPr>
              <w:spacing w:after="0" w:line="252" w:lineRule="auto"/>
            </w:pPr>
            <w:r/>
            <w:r>
              <w:rPr>
                <w:rFonts w:ascii="Calibri" w:hAnsi="Calibri"/>
                <w:b w:val="0"/>
                <w:color w:val="000000"/>
                <w:sz w:val="18"/>
              </w:rPr>
              <w:t>It is not a calendar timestamp.</w:t>
            </w:r>
          </w:p>
        </w:tc>
        <w:tc>
          <w:tcPr>
            <w:tcW w:type="dxa" w:w="3312"/>
          </w:tcPr>
          <w:p>
            <w:pPr>
              <w:spacing w:after="0" w:line="252" w:lineRule="auto"/>
            </w:pPr>
            <w:r/>
            <w:r>
              <w:rPr>
                <w:rFonts w:ascii="Calibri" w:hAnsi="Calibri"/>
                <w:b w:val="0"/>
                <w:color w:val="000000"/>
                <w:sz w:val="18"/>
              </w:rPr>
              <w:t>A clearly labelled synthetic transaction timestamp is derived from a defined project start date.</w:t>
            </w:r>
          </w:p>
        </w:tc>
      </w:tr>
      <w:tr>
        <w:tc>
          <w:tcPr>
            <w:tcW w:type="dxa" w:w="3312"/>
          </w:tcPr>
          <w:p>
            <w:pPr>
              <w:spacing w:after="0" w:line="252" w:lineRule="auto"/>
            </w:pPr>
            <w:r/>
            <w:r>
              <w:rPr>
                <w:rFonts w:ascii="Calibri" w:hAnsi="Calibri"/>
                <w:b w:val="0"/>
                <w:color w:val="000000"/>
                <w:sz w:val="18"/>
              </w:rPr>
              <w:t>No customer/card/merchant identifiers</w:t>
            </w:r>
          </w:p>
        </w:tc>
        <w:tc>
          <w:tcPr>
            <w:tcW w:type="dxa" w:w="3312"/>
          </w:tcPr>
          <w:p>
            <w:pPr>
              <w:spacing w:after="0" w:line="252" w:lineRule="auto"/>
            </w:pPr>
            <w:r/>
            <w:r>
              <w:rPr>
                <w:rFonts w:ascii="Calibri" w:hAnsi="Calibri"/>
                <w:b w:val="0"/>
                <w:color w:val="000000"/>
                <w:sz w:val="18"/>
              </w:rPr>
              <w:t>Customer velocity, merchant trends, and genuine dimensions cannot be built.</w:t>
            </w:r>
          </w:p>
        </w:tc>
        <w:tc>
          <w:tcPr>
            <w:tcW w:type="dxa" w:w="3312"/>
          </w:tcPr>
          <w:p>
            <w:pPr>
              <w:spacing w:after="0" w:line="252" w:lineRule="auto"/>
            </w:pPr>
            <w:r/>
            <w:r>
              <w:rPr>
                <w:rFonts w:ascii="Calibri" w:hAnsi="Calibri"/>
                <w:b w:val="0"/>
                <w:color w:val="000000"/>
                <w:sz w:val="18"/>
              </w:rPr>
              <w:t>Use time-window/repetition signals only; do not claim entity-level fraud logic.</w:t>
            </w:r>
          </w:p>
        </w:tc>
      </w:tr>
      <w:tr>
        <w:tc>
          <w:tcPr>
            <w:tcW w:type="dxa" w:w="3312"/>
          </w:tcPr>
          <w:p>
            <w:pPr>
              <w:spacing w:after="0" w:line="252" w:lineRule="auto"/>
            </w:pPr>
            <w:r/>
            <w:r>
              <w:rPr>
                <w:rFonts w:ascii="Calibri" w:hAnsi="Calibri"/>
                <w:b w:val="0"/>
                <w:color w:val="000000"/>
                <w:sz w:val="18"/>
              </w:rPr>
              <w:t>Class is the historical label</w:t>
            </w:r>
          </w:p>
        </w:tc>
        <w:tc>
          <w:tcPr>
            <w:tcW w:type="dxa" w:w="3312"/>
          </w:tcPr>
          <w:p>
            <w:pPr>
              <w:spacing w:after="0" w:line="252" w:lineRule="auto"/>
            </w:pPr>
            <w:r/>
            <w:r>
              <w:rPr>
                <w:rFonts w:ascii="Calibri" w:hAnsi="Calibri"/>
                <w:b w:val="0"/>
                <w:color w:val="000000"/>
                <w:sz w:val="18"/>
              </w:rPr>
              <w:t>Using it to create a score would leak the answer.</w:t>
            </w:r>
          </w:p>
        </w:tc>
        <w:tc>
          <w:tcPr>
            <w:tcW w:type="dxa" w:w="3312"/>
          </w:tcPr>
          <w:p>
            <w:pPr>
              <w:spacing w:after="0" w:line="252" w:lineRule="auto"/>
            </w:pPr>
            <w:r/>
            <w:r>
              <w:rPr>
                <w:rFonts w:ascii="Calibri" w:hAnsi="Calibri"/>
                <w:b w:val="0"/>
                <w:color w:val="000000"/>
                <w:sz w:val="18"/>
              </w:rPr>
              <w:t>Use it only to compare historical outcomes in Gold analytics and validate the design.</w:t>
            </w:r>
          </w:p>
        </w:tc>
      </w:tr>
    </w:tbl>
    <w:p>
      <w:pPr>
        <w:spacing w:after="20"/>
      </w:pPr>
    </w:p>
    <w:p>
      <w:pPr>
        <w:pStyle w:val="Heading1"/>
      </w:pPr>
      <w:r>
        <w:t>3. Final Architecture and Data Flow</w:t>
      </w:r>
    </w:p>
    <w:p>
      <w:r>
        <w:t>The final architecture has one required data path and a mandatory orchestration path. The full editable architecture figure is maintained in the repository at diagrams/final_fraud_detection_architecture_v2.svg.</w:t>
      </w:r>
    </w:p>
    <w:p>
      <w:pPr>
        <w:spacing w:before="100" w:after="160"/>
        <w:ind w:left="288" w:right="288"/>
        <w:shd w:fill="F3F6FA"/>
      </w:pPr>
      <w:r>
        <w:rPr>
          <w:rFonts w:ascii="Consolas" w:hAnsi="Consolas"/>
          <w:color w:val="0B2545"/>
          <w:sz w:val="19"/>
        </w:rPr>
        <w:t>Kaggle CSV -&gt; S3 landing/ -&gt; Bronze transactions_raw -&gt; Silver transactions_silver_incremental -&gt; Snowflake RAW.TRANSACTIONS -&gt; Gold tables/view -&gt; Snowflake Streamlit dashboard</w:t>
      </w:r>
    </w:p>
    <w:p>
      <w:pPr>
        <w:spacing w:before="100" w:after="160"/>
        <w:ind w:left="288" w:right="288"/>
        <w:shd w:fill="F3F6FA"/>
      </w:pPr>
      <w:r>
        <w:rPr>
          <w:rFonts w:ascii="Consolas" w:hAnsi="Consolas"/>
          <w:color w:val="0B2545"/>
          <w:sz w:val="19"/>
        </w:rPr>
        <w:t>Dagster sensor -&gt; Bronze job -&gt; Silver job -&gt; Snowflake load job -&gt; RAW validation -&gt; Gold refresh -&gt; archive/ (or reject/ on duplicate/failure)</w:t>
      </w:r>
    </w:p>
    <w:tbl>
      <w:tblPr>
        <w:tblStyle w:val="TableGrid"/>
        <w:tblW w:type="dxa" w:w="9120"/>
        <w:tblLayout w:type="fixed"/>
        <w:tblLook w:firstColumn="1" w:firstRow="1" w:lastColumn="0" w:lastRow="0" w:noHBand="0" w:noVBand="1" w:val="04A0"/>
        <w:jc w:val="left"/>
        <w:tblBorders>
          <w:top w:val="single" w:sz="6" w:space="0" w:color="C7D1DE"/>
          <w:left w:val="single" w:sz="6" w:space="0" w:color="C7D1DE"/>
          <w:bottom w:val="single" w:sz="6" w:space="0" w:color="C7D1DE"/>
          <w:right w:val="single" w:sz="6" w:space="0" w:color="C7D1DE"/>
          <w:insideH w:val="single" w:sz="6" w:space="0" w:color="C7D1DE"/>
          <w:insideV w:val="single" w:sz="6" w:space="0" w:color="C7D1DE"/>
        </w:tblBorders>
        <w:tblInd w:w="120" w:type="dxa"/>
      </w:tblPr>
      <w:tblGrid>
        <w:gridCol w:w="3312"/>
        <w:gridCol w:w="3312"/>
        <w:gridCol w:w="3312"/>
      </w:tblGrid>
      <w:tr>
        <w:trPr>
          <w:tblHeader w:val="true"/>
        </w:trPr>
        <w:tc>
          <w:tcPr>
            <w:tcW w:type="dxa" w:w="2000"/>
            <w:tcMar>
              <w:top w:w="80" w:type="dxa"/>
              <w:start w:w="120" w:type="dxa"/>
              <w:bottom w:w="80" w:type="dxa"/>
              <w:end w:w="120" w:type="dxa"/>
            </w:tcMar>
            <w:vAlign w:val="center"/>
            <w:shd w:fill="E8EEF5"/>
          </w:tcPr>
          <w:p>
            <w:pPr>
              <w:spacing w:after="0" w:line="252" w:lineRule="auto"/>
            </w:pPr>
            <w:r/>
            <w:r>
              <w:rPr>
                <w:rFonts w:ascii="Calibri" w:hAnsi="Calibri"/>
                <w:b/>
                <w:color w:val="0B2545"/>
                <w:sz w:val="18"/>
              </w:rPr>
              <w:t>Layer / component</w:t>
            </w:r>
          </w:p>
        </w:tc>
        <w:tc>
          <w:tcPr>
            <w:tcW w:type="dxa" w:w="3700"/>
            <w:tcMar>
              <w:top w:w="80" w:type="dxa"/>
              <w:start w:w="120" w:type="dxa"/>
              <w:bottom w:w="80" w:type="dxa"/>
              <w:end w:w="120" w:type="dxa"/>
            </w:tcMar>
            <w:vAlign w:val="center"/>
            <w:shd w:fill="E8EEF5"/>
          </w:tcPr>
          <w:p>
            <w:pPr>
              <w:spacing w:after="0" w:line="252" w:lineRule="auto"/>
            </w:pPr>
            <w:r/>
            <w:r>
              <w:rPr>
                <w:rFonts w:ascii="Calibri" w:hAnsi="Calibri"/>
                <w:b/>
                <w:color w:val="0B2545"/>
                <w:sz w:val="18"/>
              </w:rPr>
              <w:t>Purpose</w:t>
            </w:r>
          </w:p>
        </w:tc>
        <w:tc>
          <w:tcPr>
            <w:tcW w:type="dxa" w:w="3420"/>
            <w:tcMar>
              <w:top w:w="80" w:type="dxa"/>
              <w:start w:w="120" w:type="dxa"/>
              <w:bottom w:w="80" w:type="dxa"/>
              <w:end w:w="120" w:type="dxa"/>
            </w:tcMar>
            <w:vAlign w:val="center"/>
            <w:shd w:fill="E8EEF5"/>
          </w:tcPr>
          <w:p>
            <w:pPr>
              <w:spacing w:after="0" w:line="252" w:lineRule="auto"/>
            </w:pPr>
            <w:r/>
            <w:r>
              <w:rPr>
                <w:rFonts w:ascii="Calibri" w:hAnsi="Calibri"/>
                <w:b/>
                <w:color w:val="0B2545"/>
                <w:sz w:val="18"/>
              </w:rPr>
              <w:t>Primary final object(s)</w:t>
            </w:r>
          </w:p>
        </w:tc>
      </w:tr>
      <w:tr>
        <w:tc>
          <w:tcPr>
            <w:tcW w:type="dxa" w:w="3312"/>
          </w:tcPr>
          <w:p>
            <w:pPr>
              <w:spacing w:after="0" w:line="252" w:lineRule="auto"/>
            </w:pPr>
            <w:r/>
            <w:r>
              <w:rPr>
                <w:rFonts w:ascii="Calibri" w:hAnsi="Calibri"/>
                <w:b w:val="0"/>
                <w:color w:val="000000"/>
                <w:sz w:val="18"/>
              </w:rPr>
              <w:t>AWS S3</w:t>
            </w:r>
          </w:p>
        </w:tc>
        <w:tc>
          <w:tcPr>
            <w:tcW w:type="dxa" w:w="3312"/>
          </w:tcPr>
          <w:p>
            <w:pPr>
              <w:spacing w:after="0" w:line="252" w:lineRule="auto"/>
            </w:pPr>
            <w:r/>
            <w:r>
              <w:rPr>
                <w:rFonts w:ascii="Calibri" w:hAnsi="Calibri"/>
                <w:b w:val="0"/>
                <w:color w:val="000000"/>
                <w:sz w:val="18"/>
              </w:rPr>
              <w:t>File landing and lifecycle storage.</w:t>
            </w:r>
          </w:p>
        </w:tc>
        <w:tc>
          <w:tcPr>
            <w:tcW w:type="dxa" w:w="3312"/>
          </w:tcPr>
          <w:p>
            <w:pPr>
              <w:spacing w:after="0" w:line="252" w:lineRule="auto"/>
            </w:pPr>
            <w:r/>
            <w:r>
              <w:rPr>
                <w:rFonts w:ascii="Calibri" w:hAnsi="Calibri"/>
                <w:b w:val="0"/>
                <w:color w:val="000000"/>
                <w:sz w:val="18"/>
              </w:rPr>
              <w:t>landing/, archive/, reject/duplicates/, reject/validation_failed/</w:t>
            </w:r>
          </w:p>
        </w:tc>
      </w:tr>
      <w:tr>
        <w:tc>
          <w:tcPr>
            <w:tcW w:type="dxa" w:w="3312"/>
          </w:tcPr>
          <w:p>
            <w:pPr>
              <w:spacing w:after="0" w:line="252" w:lineRule="auto"/>
            </w:pPr>
            <w:r/>
            <w:r>
              <w:rPr>
                <w:rFonts w:ascii="Calibri" w:hAnsi="Calibri"/>
                <w:b w:val="0"/>
                <w:color w:val="000000"/>
                <w:sz w:val="18"/>
              </w:rPr>
              <w:t>Databricks Bronze</w:t>
            </w:r>
          </w:p>
        </w:tc>
        <w:tc>
          <w:tcPr>
            <w:tcW w:type="dxa" w:w="3312"/>
          </w:tcPr>
          <w:p>
            <w:pPr>
              <w:spacing w:after="0" w:line="252" w:lineRule="auto"/>
            </w:pPr>
            <w:r/>
            <w:r>
              <w:rPr>
                <w:rFonts w:ascii="Calibri" w:hAnsi="Calibri"/>
                <w:b w:val="0"/>
                <w:color w:val="000000"/>
                <w:sz w:val="18"/>
              </w:rPr>
              <w:t>Immutable-style raw preservation plus ingestion lineage.</w:t>
            </w:r>
          </w:p>
        </w:tc>
        <w:tc>
          <w:tcPr>
            <w:tcW w:type="dxa" w:w="3312"/>
          </w:tcPr>
          <w:p>
            <w:pPr>
              <w:spacing w:after="0" w:line="252" w:lineRule="auto"/>
            </w:pPr>
            <w:r/>
            <w:r>
              <w:rPr>
                <w:rFonts w:ascii="Calibri" w:hAnsi="Calibri"/>
                <w:b w:val="0"/>
                <w:color w:val="000000"/>
                <w:sz w:val="18"/>
              </w:rPr>
              <w:t>workspace.bronze.transactions_raw</w:t>
            </w:r>
          </w:p>
        </w:tc>
      </w:tr>
      <w:tr>
        <w:tc>
          <w:tcPr>
            <w:tcW w:type="dxa" w:w="3312"/>
          </w:tcPr>
          <w:p>
            <w:pPr>
              <w:spacing w:after="0" w:line="252" w:lineRule="auto"/>
            </w:pPr>
            <w:r/>
            <w:r>
              <w:rPr>
                <w:rFonts w:ascii="Calibri" w:hAnsi="Calibri"/>
                <w:b w:val="0"/>
                <w:color w:val="000000"/>
                <w:sz w:val="18"/>
              </w:rPr>
              <w:t>Databricks Operations</w:t>
            </w:r>
          </w:p>
        </w:tc>
        <w:tc>
          <w:tcPr>
            <w:tcW w:type="dxa" w:w="3312"/>
          </w:tcPr>
          <w:p>
            <w:pPr>
              <w:spacing w:after="0" w:line="252" w:lineRule="auto"/>
            </w:pPr>
            <w:r/>
            <w:r>
              <w:rPr>
                <w:rFonts w:ascii="Calibri" w:hAnsi="Calibri"/>
                <w:b w:val="0"/>
                <w:color w:val="000000"/>
                <w:sz w:val="18"/>
              </w:rPr>
              <w:t>File and batch audit records.</w:t>
            </w:r>
          </w:p>
        </w:tc>
        <w:tc>
          <w:tcPr>
            <w:tcW w:type="dxa" w:w="3312"/>
          </w:tcPr>
          <w:p>
            <w:pPr>
              <w:spacing w:after="0" w:line="252" w:lineRule="auto"/>
            </w:pPr>
            <w:r/>
            <w:r>
              <w:rPr>
                <w:rFonts w:ascii="Calibri" w:hAnsi="Calibri"/>
                <w:b w:val="0"/>
                <w:color w:val="000000"/>
                <w:sz w:val="18"/>
              </w:rPr>
              <w:t>workspace.ops.processed_files; workspace.ops.silver_processed_batches</w:t>
            </w:r>
          </w:p>
        </w:tc>
      </w:tr>
      <w:tr>
        <w:tc>
          <w:tcPr>
            <w:tcW w:type="dxa" w:w="3312"/>
          </w:tcPr>
          <w:p>
            <w:pPr>
              <w:spacing w:after="0" w:line="252" w:lineRule="auto"/>
            </w:pPr>
            <w:r/>
            <w:r>
              <w:rPr>
                <w:rFonts w:ascii="Calibri" w:hAnsi="Calibri"/>
                <w:b w:val="0"/>
                <w:color w:val="000000"/>
                <w:sz w:val="18"/>
              </w:rPr>
              <w:t>Databricks Silver</w:t>
            </w:r>
          </w:p>
        </w:tc>
        <w:tc>
          <w:tcPr>
            <w:tcW w:type="dxa" w:w="3312"/>
          </w:tcPr>
          <w:p>
            <w:pPr>
              <w:spacing w:after="0" w:line="252" w:lineRule="auto"/>
            </w:pPr>
            <w:r/>
            <w:r>
              <w:rPr>
                <w:rFonts w:ascii="Calibri" w:hAnsi="Calibri"/>
                <w:b w:val="0"/>
                <w:color w:val="000000"/>
                <w:sz w:val="18"/>
              </w:rPr>
              <w:t>Clean, exact-deduplicated, feature-enriched transactions.</w:t>
            </w:r>
          </w:p>
        </w:tc>
        <w:tc>
          <w:tcPr>
            <w:tcW w:type="dxa" w:w="3312"/>
          </w:tcPr>
          <w:p>
            <w:pPr>
              <w:spacing w:after="0" w:line="252" w:lineRule="auto"/>
            </w:pPr>
            <w:r/>
            <w:r>
              <w:rPr>
                <w:rFonts w:ascii="Calibri" w:hAnsi="Calibri"/>
                <w:b w:val="0"/>
                <w:color w:val="000000"/>
                <w:sz w:val="18"/>
              </w:rPr>
              <w:t>workspace.silver.transactions_silver_incremental</w:t>
            </w:r>
          </w:p>
        </w:tc>
      </w:tr>
      <w:tr>
        <w:tc>
          <w:tcPr>
            <w:tcW w:type="dxa" w:w="3312"/>
          </w:tcPr>
          <w:p>
            <w:pPr>
              <w:spacing w:after="0" w:line="252" w:lineRule="auto"/>
            </w:pPr>
            <w:r/>
            <w:r>
              <w:rPr>
                <w:rFonts w:ascii="Calibri" w:hAnsi="Calibri"/>
                <w:b w:val="0"/>
                <w:color w:val="000000"/>
                <w:sz w:val="18"/>
              </w:rPr>
              <w:t>Snowflake RAW</w:t>
            </w:r>
          </w:p>
        </w:tc>
        <w:tc>
          <w:tcPr>
            <w:tcW w:type="dxa" w:w="3312"/>
          </w:tcPr>
          <w:p>
            <w:pPr>
              <w:spacing w:after="0" w:line="252" w:lineRule="auto"/>
            </w:pPr>
            <w:r/>
            <w:r>
              <w:rPr>
                <w:rFonts w:ascii="Calibri" w:hAnsi="Calibri"/>
                <w:b w:val="0"/>
                <w:color w:val="000000"/>
                <w:sz w:val="18"/>
              </w:rPr>
              <w:t>Incremental analyst-ready transaction storage.</w:t>
            </w:r>
          </w:p>
        </w:tc>
        <w:tc>
          <w:tcPr>
            <w:tcW w:type="dxa" w:w="3312"/>
          </w:tcPr>
          <w:p>
            <w:pPr>
              <w:spacing w:after="0" w:line="252" w:lineRule="auto"/>
            </w:pPr>
            <w:r/>
            <w:r>
              <w:rPr>
                <w:rFonts w:ascii="Calibri" w:hAnsi="Calibri"/>
                <w:b w:val="0"/>
                <w:color w:val="000000"/>
                <w:sz w:val="18"/>
              </w:rPr>
              <w:t>FRAUD_DB.RAW.TRANSACTIONS</w:t>
            </w:r>
          </w:p>
        </w:tc>
      </w:tr>
      <w:tr>
        <w:tc>
          <w:tcPr>
            <w:tcW w:type="dxa" w:w="3312"/>
          </w:tcPr>
          <w:p>
            <w:pPr>
              <w:spacing w:after="0" w:line="252" w:lineRule="auto"/>
            </w:pPr>
            <w:r/>
            <w:r>
              <w:rPr>
                <w:rFonts w:ascii="Calibri" w:hAnsi="Calibri"/>
                <w:b w:val="0"/>
                <w:color w:val="000000"/>
                <w:sz w:val="18"/>
              </w:rPr>
              <w:t>Snowflake Gold</w:t>
            </w:r>
          </w:p>
        </w:tc>
        <w:tc>
          <w:tcPr>
            <w:tcW w:type="dxa" w:w="3312"/>
          </w:tcPr>
          <w:p>
            <w:pPr>
              <w:spacing w:after="0" w:line="252" w:lineRule="auto"/>
            </w:pPr>
            <w:r/>
            <w:r>
              <w:rPr>
                <w:rFonts w:ascii="Calibri" w:hAnsi="Calibri"/>
                <w:b w:val="0"/>
                <w:color w:val="000000"/>
                <w:sz w:val="18"/>
              </w:rPr>
              <w:t>Dashboard aggregates and real-time review presentation.</w:t>
            </w:r>
          </w:p>
        </w:tc>
        <w:tc>
          <w:tcPr>
            <w:tcW w:type="dxa" w:w="3312"/>
          </w:tcPr>
          <w:p>
            <w:pPr>
              <w:spacing w:after="0" w:line="252" w:lineRule="auto"/>
            </w:pPr>
            <w:r/>
            <w:r>
              <w:rPr>
                <w:rFonts w:ascii="Calibri" w:hAnsi="Calibri"/>
                <w:b w:val="0"/>
                <w:color w:val="000000"/>
                <w:sz w:val="18"/>
              </w:rPr>
              <w:t>FRAUD_DAILY_SUMMARY; AMOUNT_BUCKET_SUMMARY; RISK_TIME_DASHBOARD; ANALYST_REVIEW_QUEUE</w:t>
            </w:r>
          </w:p>
        </w:tc>
      </w:tr>
      <w:tr>
        <w:tc>
          <w:tcPr>
            <w:tcW w:type="dxa" w:w="3312"/>
          </w:tcPr>
          <w:p>
            <w:pPr>
              <w:spacing w:after="0" w:line="252" w:lineRule="auto"/>
            </w:pPr>
            <w:r/>
            <w:r>
              <w:rPr>
                <w:rFonts w:ascii="Calibri" w:hAnsi="Calibri"/>
                <w:b w:val="0"/>
                <w:color w:val="000000"/>
                <w:sz w:val="18"/>
              </w:rPr>
              <w:t>Snowflake Streamlit</w:t>
            </w:r>
          </w:p>
        </w:tc>
        <w:tc>
          <w:tcPr>
            <w:tcW w:type="dxa" w:w="3312"/>
          </w:tcPr>
          <w:p>
            <w:pPr>
              <w:spacing w:after="0" w:line="252" w:lineRule="auto"/>
            </w:pPr>
            <w:r/>
            <w:r>
              <w:rPr>
                <w:rFonts w:ascii="Calibri" w:hAnsi="Calibri"/>
                <w:b w:val="0"/>
                <w:color w:val="000000"/>
                <w:sz w:val="18"/>
              </w:rPr>
              <w:t>Interactive consumer application.</w:t>
            </w:r>
          </w:p>
        </w:tc>
        <w:tc>
          <w:tcPr>
            <w:tcW w:type="dxa" w:w="3312"/>
          </w:tcPr>
          <w:p>
            <w:pPr>
              <w:spacing w:after="0" w:line="252" w:lineRule="auto"/>
            </w:pPr>
            <w:r/>
            <w:r>
              <w:rPr>
                <w:rFonts w:ascii="Calibri" w:hAnsi="Calibri"/>
                <w:b w:val="0"/>
                <w:color w:val="000000"/>
                <w:sz w:val="18"/>
              </w:rPr>
              <w:t>FRAUD_DB.ANALYTICS.FRAUD_RISK_DASHBOARD</w:t>
            </w:r>
          </w:p>
        </w:tc>
      </w:tr>
    </w:tbl>
    <w:p>
      <w:pPr>
        <w:spacing w:after="20"/>
      </w:pPr>
    </w:p>
    <w:p>
      <w:pPr>
        <w:pStyle w:val="Heading1"/>
      </w:pPr>
      <w:r>
        <w:t>4. Tooling and Responsibilities</w:t>
      </w:r>
    </w:p>
    <w:tbl>
      <w:tblPr>
        <w:tblStyle w:val="TableGrid"/>
        <w:tblW w:type="dxa" w:w="9120"/>
        <w:tblLayout w:type="fixed"/>
        <w:tblLook w:firstColumn="1" w:firstRow="1" w:lastColumn="0" w:lastRow="0" w:noHBand="0" w:noVBand="1" w:val="04A0"/>
        <w:jc w:val="left"/>
        <w:tblBorders>
          <w:top w:val="single" w:sz="6" w:space="0" w:color="C7D1DE"/>
          <w:left w:val="single" w:sz="6" w:space="0" w:color="C7D1DE"/>
          <w:bottom w:val="single" w:sz="6" w:space="0" w:color="C7D1DE"/>
          <w:right w:val="single" w:sz="6" w:space="0" w:color="C7D1DE"/>
          <w:insideH w:val="single" w:sz="6" w:space="0" w:color="C7D1DE"/>
          <w:insideV w:val="single" w:sz="6" w:space="0" w:color="C7D1DE"/>
        </w:tblBorders>
        <w:tblInd w:w="120" w:type="dxa"/>
      </w:tblPr>
      <w:tblGrid>
        <w:gridCol w:w="3312"/>
        <w:gridCol w:w="3312"/>
        <w:gridCol w:w="3312"/>
      </w:tblGrid>
      <w:tr>
        <w:trPr>
          <w:tblHeader w:val="true"/>
        </w:trPr>
        <w:tc>
          <w:tcPr>
            <w:tcW w:type="dxa" w:w="1700"/>
            <w:tcMar>
              <w:top w:w="80" w:type="dxa"/>
              <w:start w:w="120" w:type="dxa"/>
              <w:bottom w:w="80" w:type="dxa"/>
              <w:end w:w="120" w:type="dxa"/>
            </w:tcMar>
            <w:vAlign w:val="center"/>
            <w:shd w:fill="E8EEF5"/>
          </w:tcPr>
          <w:p>
            <w:pPr>
              <w:spacing w:after="0" w:line="252" w:lineRule="auto"/>
            </w:pPr>
            <w:r/>
            <w:r>
              <w:rPr>
                <w:rFonts w:ascii="Calibri" w:hAnsi="Calibri"/>
                <w:b/>
                <w:color w:val="0B2545"/>
                <w:sz w:val="18"/>
              </w:rPr>
              <w:t>Tool</w:t>
            </w:r>
          </w:p>
        </w:tc>
        <w:tc>
          <w:tcPr>
            <w:tcW w:type="dxa" w:w="4100"/>
            <w:tcMar>
              <w:top w:w="80" w:type="dxa"/>
              <w:start w:w="120" w:type="dxa"/>
              <w:bottom w:w="80" w:type="dxa"/>
              <w:end w:w="120" w:type="dxa"/>
            </w:tcMar>
            <w:vAlign w:val="center"/>
            <w:shd w:fill="E8EEF5"/>
          </w:tcPr>
          <w:p>
            <w:pPr>
              <w:spacing w:after="0" w:line="252" w:lineRule="auto"/>
            </w:pPr>
            <w:r/>
            <w:r>
              <w:rPr>
                <w:rFonts w:ascii="Calibri" w:hAnsi="Calibri"/>
                <w:b/>
                <w:color w:val="0B2545"/>
                <w:sz w:val="18"/>
              </w:rPr>
              <w:t>How it is used</w:t>
            </w:r>
          </w:p>
        </w:tc>
        <w:tc>
          <w:tcPr>
            <w:tcW w:type="dxa" w:w="3320"/>
            <w:tcMar>
              <w:top w:w="80" w:type="dxa"/>
              <w:start w:w="120" w:type="dxa"/>
              <w:bottom w:w="80" w:type="dxa"/>
              <w:end w:w="120" w:type="dxa"/>
            </w:tcMar>
            <w:vAlign w:val="center"/>
            <w:shd w:fill="E8EEF5"/>
          </w:tcPr>
          <w:p>
            <w:pPr>
              <w:spacing w:after="0" w:line="252" w:lineRule="auto"/>
            </w:pPr>
            <w:r/>
            <w:r>
              <w:rPr>
                <w:rFonts w:ascii="Calibri" w:hAnsi="Calibri"/>
                <w:b/>
                <w:color w:val="0B2545"/>
                <w:sz w:val="18"/>
              </w:rPr>
              <w:t>Control / reason</w:t>
            </w:r>
          </w:p>
        </w:tc>
      </w:tr>
      <w:tr>
        <w:tc>
          <w:tcPr>
            <w:tcW w:type="dxa" w:w="3312"/>
          </w:tcPr>
          <w:p>
            <w:pPr>
              <w:spacing w:after="0" w:line="252" w:lineRule="auto"/>
            </w:pPr>
            <w:r/>
            <w:r>
              <w:rPr>
                <w:rFonts w:ascii="Calibri" w:hAnsi="Calibri"/>
                <w:b w:val="0"/>
                <w:color w:val="000000"/>
                <w:sz w:val="18"/>
              </w:rPr>
              <w:t>Amazon S3</w:t>
            </w:r>
          </w:p>
        </w:tc>
        <w:tc>
          <w:tcPr>
            <w:tcW w:type="dxa" w:w="3312"/>
          </w:tcPr>
          <w:p>
            <w:pPr>
              <w:spacing w:after="0" w:line="252" w:lineRule="auto"/>
            </w:pPr>
            <w:r/>
            <w:r>
              <w:rPr>
                <w:rFonts w:ascii="Calibri" w:hAnsi="Calibri"/>
                <w:b w:val="0"/>
                <w:color w:val="000000"/>
                <w:sz w:val="18"/>
              </w:rPr>
              <w:t>Stores inbound, archived, and rejected CSV files.</w:t>
            </w:r>
          </w:p>
        </w:tc>
        <w:tc>
          <w:tcPr>
            <w:tcW w:type="dxa" w:w="3312"/>
          </w:tcPr>
          <w:p>
            <w:pPr>
              <w:spacing w:after="0" w:line="252" w:lineRule="auto"/>
            </w:pPr>
            <w:r/>
            <w:r>
              <w:rPr>
                <w:rFonts w:ascii="Calibri" w:hAnsi="Calibri"/>
                <w:b w:val="0"/>
                <w:color w:val="000000"/>
                <w:sz w:val="18"/>
              </w:rPr>
              <w:t>Separates lifecycle states and supports secure programmatic access.</w:t>
            </w:r>
          </w:p>
        </w:tc>
      </w:tr>
      <w:tr>
        <w:tc>
          <w:tcPr>
            <w:tcW w:type="dxa" w:w="3312"/>
          </w:tcPr>
          <w:p>
            <w:pPr>
              <w:spacing w:after="0" w:line="252" w:lineRule="auto"/>
            </w:pPr>
            <w:r/>
            <w:r>
              <w:rPr>
                <w:rFonts w:ascii="Calibri" w:hAnsi="Calibri"/>
                <w:b w:val="0"/>
                <w:color w:val="000000"/>
                <w:sz w:val="18"/>
              </w:rPr>
              <w:t>Databricks + Unity Catalog</w:t>
            </w:r>
          </w:p>
        </w:tc>
        <w:tc>
          <w:tcPr>
            <w:tcW w:type="dxa" w:w="3312"/>
          </w:tcPr>
          <w:p>
            <w:pPr>
              <w:spacing w:after="0" w:line="252" w:lineRule="auto"/>
            </w:pPr>
            <w:r/>
            <w:r>
              <w:rPr>
                <w:rFonts w:ascii="Calibri" w:hAnsi="Calibri"/>
                <w:b w:val="0"/>
                <w:color w:val="000000"/>
                <w:sz w:val="18"/>
              </w:rPr>
              <w:t>Runs SQL notebooks, stores Bronze/Silver Delta tables, and exposes governed catalog objects.</w:t>
            </w:r>
          </w:p>
        </w:tc>
        <w:tc>
          <w:tcPr>
            <w:tcW w:type="dxa" w:w="3312"/>
          </w:tcPr>
          <w:p>
            <w:pPr>
              <w:spacing w:after="0" w:line="252" w:lineRule="auto"/>
            </w:pPr>
            <w:r/>
            <w:r>
              <w:rPr>
                <w:rFonts w:ascii="Calibri" w:hAnsi="Calibri"/>
                <w:b w:val="0"/>
                <w:color w:val="000000"/>
                <w:sz w:val="18"/>
              </w:rPr>
              <w:t>Catalog/schema naming makes data locations explicit.</w:t>
            </w:r>
          </w:p>
        </w:tc>
      </w:tr>
      <w:tr>
        <w:tc>
          <w:tcPr>
            <w:tcW w:type="dxa" w:w="3312"/>
          </w:tcPr>
          <w:p>
            <w:pPr>
              <w:spacing w:after="0" w:line="252" w:lineRule="auto"/>
            </w:pPr>
            <w:r/>
            <w:r>
              <w:rPr>
                <w:rFonts w:ascii="Calibri" w:hAnsi="Calibri"/>
                <w:b w:val="0"/>
                <w:color w:val="000000"/>
                <w:sz w:val="18"/>
              </w:rPr>
              <w:t>Snowflake</w:t>
            </w:r>
          </w:p>
        </w:tc>
        <w:tc>
          <w:tcPr>
            <w:tcW w:type="dxa" w:w="3312"/>
          </w:tcPr>
          <w:p>
            <w:pPr>
              <w:spacing w:after="0" w:line="252" w:lineRule="auto"/>
            </w:pPr>
            <w:r/>
            <w:r>
              <w:rPr>
                <w:rFonts w:ascii="Calibri" w:hAnsi="Calibri"/>
                <w:b w:val="0"/>
                <w:color w:val="000000"/>
                <w:sz w:val="18"/>
              </w:rPr>
              <w:t>Receives incremental RAW data; builds Gold analytics; hosts Streamlit.</w:t>
            </w:r>
          </w:p>
        </w:tc>
        <w:tc>
          <w:tcPr>
            <w:tcW w:type="dxa" w:w="3312"/>
          </w:tcPr>
          <w:p>
            <w:pPr>
              <w:spacing w:after="0" w:line="252" w:lineRule="auto"/>
            </w:pPr>
            <w:r/>
            <w:r>
              <w:rPr>
                <w:rFonts w:ascii="Calibri" w:hAnsi="Calibri"/>
                <w:b w:val="0"/>
                <w:color w:val="000000"/>
                <w:sz w:val="18"/>
              </w:rPr>
              <w:t>Separates RAW from business-consumption outputs.</w:t>
            </w:r>
          </w:p>
        </w:tc>
      </w:tr>
      <w:tr>
        <w:tc>
          <w:tcPr>
            <w:tcW w:type="dxa" w:w="3312"/>
          </w:tcPr>
          <w:p>
            <w:pPr>
              <w:spacing w:after="0" w:line="252" w:lineRule="auto"/>
            </w:pPr>
            <w:r/>
            <w:r>
              <w:rPr>
                <w:rFonts w:ascii="Calibri" w:hAnsi="Calibri"/>
                <w:b w:val="0"/>
                <w:color w:val="000000"/>
                <w:sz w:val="18"/>
              </w:rPr>
              <w:t>Dagster</w:t>
            </w:r>
          </w:p>
        </w:tc>
        <w:tc>
          <w:tcPr>
            <w:tcW w:type="dxa" w:w="3312"/>
          </w:tcPr>
          <w:p>
            <w:pPr>
              <w:spacing w:after="0" w:line="252" w:lineRule="auto"/>
            </w:pPr>
            <w:r/>
            <w:r>
              <w:rPr>
                <w:rFonts w:ascii="Calibri" w:hAnsi="Calibri"/>
                <w:b w:val="0"/>
                <w:color w:val="000000"/>
                <w:sz w:val="18"/>
              </w:rPr>
              <w:t>Schedules and observes the end-to-end workflow.</w:t>
            </w:r>
          </w:p>
        </w:tc>
        <w:tc>
          <w:tcPr>
            <w:tcW w:type="dxa" w:w="3312"/>
          </w:tcPr>
          <w:p>
            <w:pPr>
              <w:spacing w:after="0" w:line="252" w:lineRule="auto"/>
            </w:pPr>
            <w:r/>
            <w:r>
              <w:rPr>
                <w:rFonts w:ascii="Calibri" w:hAnsi="Calibri"/>
                <w:b w:val="0"/>
                <w:color w:val="000000"/>
                <w:sz w:val="18"/>
              </w:rPr>
              <w:t>Dependencies prevent downstream work starting before upstream success.</w:t>
            </w:r>
          </w:p>
        </w:tc>
      </w:tr>
      <w:tr>
        <w:tc>
          <w:tcPr>
            <w:tcW w:type="dxa" w:w="3312"/>
          </w:tcPr>
          <w:p>
            <w:pPr>
              <w:spacing w:after="0" w:line="252" w:lineRule="auto"/>
            </w:pPr>
            <w:r/>
            <w:r>
              <w:rPr>
                <w:rFonts w:ascii="Calibri" w:hAnsi="Calibri"/>
                <w:b w:val="0"/>
                <w:color w:val="000000"/>
                <w:sz w:val="18"/>
              </w:rPr>
              <w:t>Git/GitHub</w:t>
            </w:r>
          </w:p>
        </w:tc>
        <w:tc>
          <w:tcPr>
            <w:tcW w:type="dxa" w:w="3312"/>
          </w:tcPr>
          <w:p>
            <w:pPr>
              <w:spacing w:after="0" w:line="252" w:lineRule="auto"/>
            </w:pPr>
            <w:r/>
            <w:r>
              <w:rPr>
                <w:rFonts w:ascii="Calibri" w:hAnsi="Calibri"/>
                <w:b w:val="0"/>
                <w:color w:val="000000"/>
                <w:sz w:val="18"/>
              </w:rPr>
              <w:t>Stores source code, notebook exports, SQL, diagrams, and documentation.</w:t>
            </w:r>
          </w:p>
        </w:tc>
        <w:tc>
          <w:tcPr>
            <w:tcW w:type="dxa" w:w="3312"/>
          </w:tcPr>
          <w:p>
            <w:pPr>
              <w:spacing w:after="0" w:line="252" w:lineRule="auto"/>
            </w:pPr>
            <w:r/>
            <w:r>
              <w:rPr>
                <w:rFonts w:ascii="Calibri" w:hAnsi="Calibri"/>
                <w:b w:val="0"/>
                <w:color w:val="000000"/>
                <w:sz w:val="18"/>
              </w:rPr>
              <w:t>Provides version control and collaboration history.</w:t>
            </w:r>
          </w:p>
        </w:tc>
      </w:tr>
      <w:tr>
        <w:tc>
          <w:tcPr>
            <w:tcW w:type="dxa" w:w="3312"/>
          </w:tcPr>
          <w:p>
            <w:pPr>
              <w:spacing w:after="0" w:line="252" w:lineRule="auto"/>
            </w:pPr>
            <w:r/>
            <w:r>
              <w:rPr>
                <w:rFonts w:ascii="Calibri" w:hAnsi="Calibri"/>
                <w:b w:val="0"/>
                <w:color w:val="000000"/>
                <w:sz w:val="18"/>
              </w:rPr>
              <w:t>Python</w:t>
            </w:r>
          </w:p>
        </w:tc>
        <w:tc>
          <w:tcPr>
            <w:tcW w:type="dxa" w:w="3312"/>
          </w:tcPr>
          <w:p>
            <w:pPr>
              <w:spacing w:after="0" w:line="252" w:lineRule="auto"/>
            </w:pPr>
            <w:r/>
            <w:r>
              <w:rPr>
                <w:rFonts w:ascii="Calibri" w:hAnsi="Calibri"/>
                <w:b w:val="0"/>
                <w:color w:val="000000"/>
                <w:sz w:val="18"/>
              </w:rPr>
              <w:t>Used for Dagster and the Snowflake connector workload.</w:t>
            </w:r>
          </w:p>
        </w:tc>
        <w:tc>
          <w:tcPr>
            <w:tcW w:type="dxa" w:w="3312"/>
          </w:tcPr>
          <w:p>
            <w:pPr>
              <w:spacing w:after="0" w:line="252" w:lineRule="auto"/>
            </w:pPr>
            <w:r/>
            <w:r>
              <w:rPr>
                <w:rFonts w:ascii="Calibri" w:hAnsi="Calibri"/>
                <w:b w:val="0"/>
                <w:color w:val="000000"/>
                <w:sz w:val="18"/>
              </w:rPr>
              <w:t>Not used for the final Bronze/Silver transformations, which are SQL-first.</w:t>
            </w:r>
          </w:p>
        </w:tc>
      </w:tr>
    </w:tbl>
    <w:p>
      <w:pPr>
        <w:spacing w:after="20"/>
      </w:pPr>
    </w:p>
    <w:p>
      <w:pPr>
        <w:pStyle w:val="Heading1"/>
      </w:pPr>
      <w:r>
        <w:t>5. S3 Landing and File Lifecycle</w:t>
      </w:r>
    </w:p>
    <w:p>
      <w:r>
        <w:t>The bucket intern-final-project-fraud-detection is in ap-south-1. S3 uses prefixes rather than physical folders; the following prefixes make the operational file state visible.</w:t>
      </w:r>
    </w:p>
    <w:tbl>
      <w:tblPr>
        <w:tblStyle w:val="TableGrid"/>
        <w:tblW w:type="dxa" w:w="9820"/>
        <w:tblLayout w:type="fixed"/>
        <w:tblLook w:firstColumn="1" w:firstRow="1" w:lastColumn="0" w:lastRow="0" w:noHBand="0" w:noVBand="1" w:val="04A0"/>
        <w:jc w:val="left"/>
        <w:tblBorders>
          <w:top w:val="single" w:sz="6" w:space="0" w:color="C7D1DE"/>
          <w:left w:val="single" w:sz="6" w:space="0" w:color="C7D1DE"/>
          <w:bottom w:val="single" w:sz="6" w:space="0" w:color="C7D1DE"/>
          <w:right w:val="single" w:sz="6" w:space="0" w:color="C7D1DE"/>
          <w:insideH w:val="single" w:sz="6" w:space="0" w:color="C7D1DE"/>
          <w:insideV w:val="single" w:sz="6" w:space="0" w:color="C7D1DE"/>
        </w:tblBorders>
        <w:tblInd w:w="120" w:type="dxa"/>
      </w:tblPr>
      <w:tblGrid>
        <w:gridCol w:w="3312"/>
        <w:gridCol w:w="3312"/>
        <w:gridCol w:w="3312"/>
      </w:tblGrid>
      <w:tr>
        <w:trPr>
          <w:tblHeader w:val="true"/>
        </w:trPr>
        <w:tc>
          <w:tcPr>
            <w:tcW w:type="dxa" w:w="2350"/>
            <w:tcMar>
              <w:top w:w="80" w:type="dxa"/>
              <w:start w:w="120" w:type="dxa"/>
              <w:bottom w:w="80" w:type="dxa"/>
              <w:end w:w="120" w:type="dxa"/>
            </w:tcMar>
            <w:vAlign w:val="center"/>
            <w:shd w:fill="E8EEF5"/>
          </w:tcPr>
          <w:p>
            <w:pPr>
              <w:spacing w:after="0" w:line="252" w:lineRule="auto"/>
            </w:pPr>
            <w:r/>
            <w:r>
              <w:rPr>
                <w:rFonts w:ascii="Calibri" w:hAnsi="Calibri"/>
                <w:b/>
                <w:color w:val="0B2545"/>
                <w:sz w:val="18"/>
              </w:rPr>
              <w:t>S3 prefix</w:t>
            </w:r>
          </w:p>
        </w:tc>
        <w:tc>
          <w:tcPr>
            <w:tcW w:type="dxa" w:w="2520"/>
            <w:tcMar>
              <w:top w:w="80" w:type="dxa"/>
              <w:start w:w="120" w:type="dxa"/>
              <w:bottom w:w="80" w:type="dxa"/>
              <w:end w:w="120" w:type="dxa"/>
            </w:tcMar>
            <w:vAlign w:val="center"/>
            <w:shd w:fill="E8EEF5"/>
          </w:tcPr>
          <w:p>
            <w:pPr>
              <w:spacing w:after="0" w:line="252" w:lineRule="auto"/>
            </w:pPr>
            <w:r/>
            <w:r>
              <w:rPr>
                <w:rFonts w:ascii="Calibri" w:hAnsi="Calibri"/>
                <w:b/>
                <w:color w:val="0B2545"/>
                <w:sz w:val="18"/>
              </w:rPr>
              <w:t>Meaning</w:t>
            </w:r>
          </w:p>
        </w:tc>
        <w:tc>
          <w:tcPr>
            <w:tcW w:type="dxa" w:w="4950"/>
            <w:tcMar>
              <w:top w:w="80" w:type="dxa"/>
              <w:start w:w="120" w:type="dxa"/>
              <w:bottom w:w="80" w:type="dxa"/>
              <w:end w:w="120" w:type="dxa"/>
            </w:tcMar>
            <w:vAlign w:val="center"/>
            <w:shd w:fill="E8EEF5"/>
          </w:tcPr>
          <w:p>
            <w:pPr>
              <w:spacing w:after="0" w:line="252" w:lineRule="auto"/>
            </w:pPr>
            <w:r/>
            <w:r>
              <w:rPr>
                <w:rFonts w:ascii="Calibri" w:hAnsi="Calibri"/>
                <w:b/>
                <w:color w:val="0B2545"/>
                <w:sz w:val="18"/>
              </w:rPr>
              <w:t>What happens there</w:t>
            </w:r>
          </w:p>
        </w:tc>
      </w:tr>
      <w:tr>
        <w:tc>
          <w:tcPr>
            <w:tcW w:type="dxa" w:w="3312"/>
          </w:tcPr>
          <w:p>
            <w:pPr>
              <w:spacing w:after="0" w:line="252" w:lineRule="auto"/>
            </w:pPr>
            <w:r/>
            <w:r>
              <w:rPr>
                <w:rFonts w:ascii="Calibri" w:hAnsi="Calibri"/>
                <w:b w:val="0"/>
                <w:color w:val="000000"/>
                <w:sz w:val="18"/>
              </w:rPr>
              <w:t>landing/</w:t>
            </w:r>
          </w:p>
        </w:tc>
        <w:tc>
          <w:tcPr>
            <w:tcW w:type="dxa" w:w="3312"/>
          </w:tcPr>
          <w:p>
            <w:pPr>
              <w:spacing w:after="0" w:line="252" w:lineRule="auto"/>
            </w:pPr>
            <w:r/>
            <w:r>
              <w:rPr>
                <w:rFonts w:ascii="Calibri" w:hAnsi="Calibri"/>
                <w:b w:val="0"/>
                <w:color w:val="000000"/>
                <w:sz w:val="18"/>
              </w:rPr>
              <w:t>New source files awaiting processing.</w:t>
            </w:r>
          </w:p>
        </w:tc>
        <w:tc>
          <w:tcPr>
            <w:tcW w:type="dxa" w:w="3312"/>
          </w:tcPr>
          <w:p>
            <w:pPr>
              <w:spacing w:after="0" w:line="252" w:lineRule="auto"/>
            </w:pPr>
            <w:r/>
            <w:r>
              <w:rPr>
                <w:rFonts w:ascii="Calibri" w:hAnsi="Calibri"/>
                <w:b w:val="0"/>
                <w:color w:val="000000"/>
                <w:sz w:val="18"/>
              </w:rPr>
              <w:t>Dagster sensor detects eligible CSV files and starts one pipeline run.</w:t>
            </w:r>
          </w:p>
        </w:tc>
      </w:tr>
      <w:tr>
        <w:tc>
          <w:tcPr>
            <w:tcW w:type="dxa" w:w="3312"/>
          </w:tcPr>
          <w:p>
            <w:pPr>
              <w:spacing w:after="0" w:line="252" w:lineRule="auto"/>
            </w:pPr>
            <w:r/>
            <w:r>
              <w:rPr>
                <w:rFonts w:ascii="Calibri" w:hAnsi="Calibri"/>
                <w:b w:val="0"/>
                <w:color w:val="000000"/>
                <w:sz w:val="18"/>
              </w:rPr>
              <w:t>archive/</w:t>
            </w:r>
          </w:p>
        </w:tc>
        <w:tc>
          <w:tcPr>
            <w:tcW w:type="dxa" w:w="3312"/>
          </w:tcPr>
          <w:p>
            <w:pPr>
              <w:spacing w:after="0" w:line="252" w:lineRule="auto"/>
            </w:pPr>
            <w:r/>
            <w:r>
              <w:rPr>
                <w:rFonts w:ascii="Calibri" w:hAnsi="Calibri"/>
                <w:b w:val="0"/>
                <w:color w:val="000000"/>
                <w:sz w:val="18"/>
              </w:rPr>
              <w:t>Successfully completed source files.</w:t>
            </w:r>
          </w:p>
        </w:tc>
        <w:tc>
          <w:tcPr>
            <w:tcW w:type="dxa" w:w="3312"/>
          </w:tcPr>
          <w:p>
            <w:pPr>
              <w:spacing w:after="0" w:line="252" w:lineRule="auto"/>
            </w:pPr>
            <w:r/>
            <w:r>
              <w:rPr>
                <w:rFonts w:ascii="Calibri" w:hAnsi="Calibri"/>
                <w:b w:val="0"/>
                <w:color w:val="000000"/>
                <w:sz w:val="18"/>
              </w:rPr>
              <w:t>A successful final stage copies the processed file here and removes it from landing.</w:t>
            </w:r>
          </w:p>
        </w:tc>
      </w:tr>
      <w:tr>
        <w:tc>
          <w:tcPr>
            <w:tcW w:type="dxa" w:w="3312"/>
          </w:tcPr>
          <w:p>
            <w:pPr>
              <w:spacing w:after="0" w:line="252" w:lineRule="auto"/>
            </w:pPr>
            <w:r/>
            <w:r>
              <w:rPr>
                <w:rFonts w:ascii="Calibri" w:hAnsi="Calibri"/>
                <w:b w:val="0"/>
                <w:color w:val="000000"/>
                <w:sz w:val="18"/>
              </w:rPr>
              <w:t>reject/duplicates/</w:t>
            </w:r>
          </w:p>
        </w:tc>
        <w:tc>
          <w:tcPr>
            <w:tcW w:type="dxa" w:w="3312"/>
          </w:tcPr>
          <w:p>
            <w:pPr>
              <w:spacing w:after="0" w:line="252" w:lineRule="auto"/>
            </w:pPr>
            <w:r/>
            <w:r>
              <w:rPr>
                <w:rFonts w:ascii="Calibri" w:hAnsi="Calibri"/>
                <w:b w:val="0"/>
                <w:color w:val="000000"/>
                <w:sz w:val="18"/>
              </w:rPr>
              <w:t>Same-content files under another name or repeat files.</w:t>
            </w:r>
          </w:p>
        </w:tc>
        <w:tc>
          <w:tcPr>
            <w:tcW w:type="dxa" w:w="3312"/>
          </w:tcPr>
          <w:p>
            <w:pPr>
              <w:spacing w:after="0" w:line="252" w:lineRule="auto"/>
            </w:pPr>
            <w:r/>
            <w:r>
              <w:rPr>
                <w:rFonts w:ascii="Calibri" w:hAnsi="Calibri"/>
                <w:b w:val="0"/>
                <w:color w:val="000000"/>
                <w:sz w:val="18"/>
              </w:rPr>
              <w:t>The file is routed here; no transaction rows are loaded again.</w:t>
            </w:r>
          </w:p>
        </w:tc>
      </w:tr>
      <w:tr>
        <w:tc>
          <w:tcPr>
            <w:tcW w:type="dxa" w:w="3312"/>
          </w:tcPr>
          <w:p>
            <w:pPr>
              <w:spacing w:after="0" w:line="252" w:lineRule="auto"/>
            </w:pPr>
            <w:r/>
            <w:r>
              <w:rPr>
                <w:rFonts w:ascii="Calibri" w:hAnsi="Calibri"/>
                <w:b w:val="0"/>
                <w:color w:val="000000"/>
                <w:sz w:val="18"/>
              </w:rPr>
              <w:t>reject/validation_failed/</w:t>
            </w:r>
          </w:p>
        </w:tc>
        <w:tc>
          <w:tcPr>
            <w:tcW w:type="dxa" w:w="3312"/>
          </w:tcPr>
          <w:p>
            <w:pPr>
              <w:spacing w:after="0" w:line="252" w:lineRule="auto"/>
            </w:pPr>
            <w:r/>
            <w:r>
              <w:rPr>
                <w:rFonts w:ascii="Calibri" w:hAnsi="Calibri"/>
                <w:b w:val="0"/>
                <w:color w:val="000000"/>
                <w:sz w:val="18"/>
              </w:rPr>
              <w:t>Files that fail structural or data-quality validation.</w:t>
            </w:r>
          </w:p>
        </w:tc>
        <w:tc>
          <w:tcPr>
            <w:tcW w:type="dxa" w:w="3312"/>
          </w:tcPr>
          <w:p>
            <w:pPr>
              <w:spacing w:after="0" w:line="252" w:lineRule="auto"/>
            </w:pPr>
            <w:r/>
            <w:r>
              <w:rPr>
                <w:rFonts w:ascii="Calibri" w:hAnsi="Calibri"/>
                <w:b w:val="0"/>
                <w:color w:val="000000"/>
                <w:sz w:val="18"/>
              </w:rPr>
              <w:t>File is retained with failure evidence for investigation and correction.</w:t>
            </w:r>
          </w:p>
        </w:tc>
      </w:tr>
    </w:tbl>
    <w:p>
      <w:pPr>
        <w:spacing w:after="20"/>
      </w:pPr>
    </w:p>
    <w:p>
      <w:pPr>
        <w:pStyle w:val="Heading2"/>
      </w:pPr>
      <w:r>
        <w:t>5.1 Lifecycle decisions</w:t>
      </w:r>
    </w:p>
    <w:p>
      <w:pPr>
        <w:pStyle w:val="ListBullet"/>
        <w:spacing w:after="60" w:line="276" w:lineRule="auto"/>
        <w:ind w:left="360" w:hanging="259"/>
      </w:pPr>
      <w:r>
        <w:t>New files must be placed only in landing/. A source file is never overwritten during processing.</w:t>
      </w:r>
    </w:p>
    <w:p>
      <w:pPr>
        <w:pStyle w:val="ListBullet"/>
        <w:spacing w:after="60" w:line="276" w:lineRule="auto"/>
        <w:ind w:left="360" w:hanging="259"/>
      </w:pPr>
      <w:r>
        <w:t>A successful pipeline completes Snowflake RAW validation and Gold refresh before archive routing occurs.</w:t>
      </w:r>
    </w:p>
    <w:p>
      <w:pPr>
        <w:pStyle w:val="ListBullet"/>
        <w:spacing w:after="60" w:line="276" w:lineRule="auto"/>
        <w:ind w:left="360" w:hanging="259"/>
      </w:pPr>
      <w:r>
        <w:t>A duplicate file name is detected through audit records. A different file name with identical content is detected through a SHA-256 content hash.</w:t>
      </w:r>
    </w:p>
    <w:p>
      <w:pPr>
        <w:pStyle w:val="ListBullet"/>
        <w:spacing w:after="60" w:line="276" w:lineRule="auto"/>
        <w:ind w:left="360" w:hanging="259"/>
      </w:pPr>
      <w:r>
        <w:t>A rejected source remains available for troubleshooting; it does not silently disappear.</w:t>
      </w:r>
    </w:p>
    <w:p>
      <w:pPr>
        <w:pStyle w:val="Heading1"/>
      </w:pPr>
      <w:r>
        <w:t>6. Bronze Layer — Raw Ingestion and Auditability</w:t>
      </w:r>
    </w:p>
    <w:p>
      <w:r>
        <w:t>Bronze is the landing representation of the file in Databricks. Its job is to preserve source rows and add operational lineage. It is intentionally not the layer for cleaning or business transformation.</w:t>
      </w:r>
    </w:p>
    <w:tbl>
      <w:tblPr>
        <w:tblStyle w:val="TableGrid"/>
        <w:tblW w:type="dxa" w:w="9120"/>
        <w:tblLayout w:type="fixed"/>
        <w:tblLook w:firstColumn="1" w:firstRow="1" w:lastColumn="0" w:lastRow="0" w:noHBand="0" w:noVBand="1" w:val="04A0"/>
        <w:jc w:val="left"/>
        <w:tblBorders>
          <w:top w:val="single" w:sz="6" w:space="0" w:color="B9D8D3"/>
          <w:left w:val="single" w:sz="6" w:space="0" w:color="B9D8D3"/>
          <w:bottom w:val="single" w:sz="6" w:space="0" w:color="B9D8D3"/>
          <w:right w:val="single" w:sz="6" w:space="0" w:color="B9D8D3"/>
          <w:insideH w:val="single" w:sz="6" w:space="0" w:color="B9D8D3"/>
          <w:insideV w:val="single" w:sz="6" w:space="0" w:color="B9D8D3"/>
        </w:tblBorders>
        <w:tblInd w:w="120" w:type="dxa"/>
      </w:tblPr>
      <w:tblGrid>
        <w:gridCol w:w="9936"/>
      </w:tblGrid>
      <w:tr>
        <w:tc>
          <w:tcPr>
            <w:tcW w:type="dxa" w:w="9120"/>
            <w:tcMar>
              <w:top w:w="80" w:type="dxa"/>
              <w:start w:w="120" w:type="dxa"/>
              <w:bottom w:w="80" w:type="dxa"/>
              <w:end w:w="120" w:type="dxa"/>
            </w:tcMar>
            <w:vAlign w:val="center"/>
            <w:shd w:fill="E6F4F1"/>
          </w:tcPr>
          <w:p>
            <w:pPr>
              <w:spacing w:after="0" w:line="264" w:lineRule="auto"/>
            </w:pPr>
            <w:r/>
            <w:r>
              <w:rPr>
                <w:b/>
                <w:color w:val="0F766E"/>
              </w:rPr>
              <w:t xml:space="preserve">Final raw-data rule: </w:t>
            </w:r>
            <w:r>
              <w:rPr>
                <w:color w:val="0B2545"/>
              </w:rPr>
              <w:t>Bronze preserves every row from the source file, including exact duplicates. Earlier experimentation used SELECT DISTINCT and reduced the original source count; the final design removes this from Bronze. Exact duplicate removal is performed only in Silver.</w:t>
            </w:r>
          </w:p>
        </w:tc>
      </w:tr>
    </w:tbl>
    <w:p>
      <w:pPr>
        <w:spacing w:after="20"/>
      </w:pPr>
    </w:p>
    <w:p>
      <w:pPr>
        <w:pStyle w:val="Heading2"/>
      </w:pPr>
      <w:r>
        <w:t>6.1 Bronze table</w:t>
      </w:r>
    </w:p>
    <w:tbl>
      <w:tblPr>
        <w:tblStyle w:val="TableGrid"/>
        <w:tblW w:type="dxa" w:w="9820"/>
        <w:tblLayout w:type="fixed"/>
        <w:tblLook w:firstColumn="1" w:firstRow="1" w:lastColumn="0" w:lastRow="0" w:noHBand="0" w:noVBand="1" w:val="04A0"/>
        <w:jc w:val="left"/>
        <w:tblBorders>
          <w:top w:val="single" w:sz="6" w:space="0" w:color="C7D1DE"/>
          <w:left w:val="single" w:sz="6" w:space="0" w:color="C7D1DE"/>
          <w:bottom w:val="single" w:sz="6" w:space="0" w:color="C7D1DE"/>
          <w:right w:val="single" w:sz="6" w:space="0" w:color="C7D1DE"/>
          <w:insideH w:val="single" w:sz="6" w:space="0" w:color="C7D1DE"/>
          <w:insideV w:val="single" w:sz="6" w:space="0" w:color="C7D1DE"/>
        </w:tblBorders>
        <w:tblInd w:w="120" w:type="dxa"/>
      </w:tblPr>
      <w:tblGrid>
        <w:gridCol w:w="3312"/>
        <w:gridCol w:w="3312"/>
        <w:gridCol w:w="3312"/>
      </w:tblGrid>
      <w:tr>
        <w:trPr>
          <w:tblHeader w:val="true"/>
        </w:trPr>
        <w:tc>
          <w:tcPr>
            <w:tcW w:type="dxa" w:w="2600"/>
            <w:tcMar>
              <w:top w:w="80" w:type="dxa"/>
              <w:start w:w="120" w:type="dxa"/>
              <w:bottom w:w="80" w:type="dxa"/>
              <w:end w:w="120" w:type="dxa"/>
            </w:tcMar>
            <w:vAlign w:val="center"/>
            <w:shd w:fill="E8EEF5"/>
          </w:tcPr>
          <w:p>
            <w:pPr>
              <w:spacing w:after="0" w:line="252" w:lineRule="auto"/>
            </w:pPr>
            <w:r/>
            <w:r>
              <w:rPr>
                <w:rFonts w:ascii="Calibri" w:hAnsi="Calibri"/>
                <w:b/>
                <w:color w:val="0B2545"/>
                <w:sz w:val="18"/>
              </w:rPr>
              <w:t>Object</w:t>
            </w:r>
          </w:p>
        </w:tc>
        <w:tc>
          <w:tcPr>
            <w:tcW w:type="dxa" w:w="3100"/>
            <w:tcMar>
              <w:top w:w="80" w:type="dxa"/>
              <w:start w:w="120" w:type="dxa"/>
              <w:bottom w:w="80" w:type="dxa"/>
              <w:end w:w="120" w:type="dxa"/>
            </w:tcMar>
            <w:vAlign w:val="center"/>
            <w:shd w:fill="E8EEF5"/>
          </w:tcPr>
          <w:p>
            <w:pPr>
              <w:spacing w:after="0" w:line="252" w:lineRule="auto"/>
            </w:pPr>
            <w:r/>
            <w:r>
              <w:rPr>
                <w:rFonts w:ascii="Calibri" w:hAnsi="Calibri"/>
                <w:b/>
                <w:color w:val="0B2545"/>
                <w:sz w:val="18"/>
              </w:rPr>
              <w:t>Purpose</w:t>
            </w:r>
          </w:p>
        </w:tc>
        <w:tc>
          <w:tcPr>
            <w:tcW w:type="dxa" w:w="4120"/>
            <w:tcMar>
              <w:top w:w="80" w:type="dxa"/>
              <w:start w:w="120" w:type="dxa"/>
              <w:bottom w:w="80" w:type="dxa"/>
              <w:end w:w="120" w:type="dxa"/>
            </w:tcMar>
            <w:vAlign w:val="center"/>
            <w:shd w:fill="E8EEF5"/>
          </w:tcPr>
          <w:p>
            <w:pPr>
              <w:spacing w:after="0" w:line="252" w:lineRule="auto"/>
            </w:pPr>
            <w:r/>
            <w:r>
              <w:rPr>
                <w:rFonts w:ascii="Calibri" w:hAnsi="Calibri"/>
                <w:b/>
                <w:color w:val="0B2545"/>
                <w:sz w:val="18"/>
              </w:rPr>
              <w:t>Examples of stored content</w:t>
            </w:r>
          </w:p>
        </w:tc>
      </w:tr>
      <w:tr>
        <w:tc>
          <w:tcPr>
            <w:tcW w:type="dxa" w:w="3312"/>
          </w:tcPr>
          <w:p>
            <w:pPr>
              <w:spacing w:after="0" w:line="252" w:lineRule="auto"/>
            </w:pPr>
            <w:r/>
            <w:r>
              <w:rPr>
                <w:rFonts w:ascii="Calibri" w:hAnsi="Calibri"/>
                <w:b w:val="0"/>
                <w:color w:val="000000"/>
                <w:sz w:val="18"/>
              </w:rPr>
              <w:t>workspace.bronze.transactions_raw</w:t>
            </w:r>
          </w:p>
        </w:tc>
        <w:tc>
          <w:tcPr>
            <w:tcW w:type="dxa" w:w="3312"/>
          </w:tcPr>
          <w:p>
            <w:pPr>
              <w:spacing w:after="0" w:line="252" w:lineRule="auto"/>
            </w:pPr>
            <w:r/>
            <w:r>
              <w:rPr>
                <w:rFonts w:ascii="Calibri" w:hAnsi="Calibri"/>
                <w:b w:val="0"/>
                <w:color w:val="000000"/>
                <w:sz w:val="18"/>
              </w:rPr>
              <w:t>Preserves all source transaction columns plus load lineage.</w:t>
            </w:r>
          </w:p>
        </w:tc>
        <w:tc>
          <w:tcPr>
            <w:tcW w:type="dxa" w:w="3312"/>
          </w:tcPr>
          <w:p>
            <w:pPr>
              <w:spacing w:after="0" w:line="252" w:lineRule="auto"/>
            </w:pPr>
            <w:r/>
            <w:r>
              <w:rPr>
                <w:rFonts w:ascii="Calibri" w:hAnsi="Calibri"/>
                <w:b w:val="0"/>
                <w:color w:val="000000"/>
                <w:sz w:val="18"/>
              </w:rPr>
              <w:t>Time, V1–V28, Amount, Class, load_ts, source_file, source_s3_uri, batch_id, ingestion_date, pipeline_run_id.</w:t>
            </w:r>
          </w:p>
        </w:tc>
      </w:tr>
      <w:tr>
        <w:tc>
          <w:tcPr>
            <w:tcW w:type="dxa" w:w="3312"/>
          </w:tcPr>
          <w:p>
            <w:pPr>
              <w:spacing w:after="0" w:line="252" w:lineRule="auto"/>
            </w:pPr>
            <w:r/>
            <w:r>
              <w:rPr>
                <w:rFonts w:ascii="Calibri" w:hAnsi="Calibri"/>
                <w:b w:val="0"/>
                <w:color w:val="000000"/>
                <w:sz w:val="18"/>
              </w:rPr>
              <w:t>workspace.ops.processed_files</w:t>
            </w:r>
          </w:p>
        </w:tc>
        <w:tc>
          <w:tcPr>
            <w:tcW w:type="dxa" w:w="3312"/>
          </w:tcPr>
          <w:p>
            <w:pPr>
              <w:spacing w:after="0" w:line="252" w:lineRule="auto"/>
            </w:pPr>
            <w:r/>
            <w:r>
              <w:rPr>
                <w:rFonts w:ascii="Calibri" w:hAnsi="Calibri"/>
                <w:b w:val="0"/>
                <w:color w:val="000000"/>
                <w:sz w:val="18"/>
              </w:rPr>
              <w:t>One operational audit record per Bronze file attempt.</w:t>
            </w:r>
          </w:p>
        </w:tc>
        <w:tc>
          <w:tcPr>
            <w:tcW w:type="dxa" w:w="3312"/>
          </w:tcPr>
          <w:p>
            <w:pPr>
              <w:spacing w:after="0" w:line="252" w:lineRule="auto"/>
            </w:pPr>
            <w:r/>
            <w:r>
              <w:rPr>
                <w:rFonts w:ascii="Calibri" w:hAnsi="Calibri"/>
                <w:b w:val="0"/>
                <w:color w:val="000000"/>
                <w:sz w:val="18"/>
              </w:rPr>
              <w:t>Source file/path, ETag, SHA-256, size, status, row counts, timestamps, target table, error message.</w:t>
            </w:r>
          </w:p>
        </w:tc>
      </w:tr>
    </w:tbl>
    <w:p>
      <w:pPr>
        <w:spacing w:after="20"/>
      </w:pPr>
    </w:p>
    <w:p>
      <w:pPr>
        <w:pStyle w:val="Heading2"/>
      </w:pPr>
      <w:r>
        <w:t>6.2 Audit columns and their value</w:t>
      </w:r>
    </w:p>
    <w:tbl>
      <w:tblPr>
        <w:tblStyle w:val="TableGrid"/>
        <w:tblW w:type="dxa" w:w="9120"/>
        <w:tblLayout w:type="fixed"/>
        <w:tblLook w:firstColumn="1" w:firstRow="1" w:lastColumn="0" w:lastRow="0" w:noHBand="0" w:noVBand="1" w:val="04A0"/>
        <w:jc w:val="left"/>
        <w:tblBorders>
          <w:top w:val="single" w:sz="6" w:space="0" w:color="C7D1DE"/>
          <w:left w:val="single" w:sz="6" w:space="0" w:color="C7D1DE"/>
          <w:bottom w:val="single" w:sz="6" w:space="0" w:color="C7D1DE"/>
          <w:right w:val="single" w:sz="6" w:space="0" w:color="C7D1DE"/>
          <w:insideH w:val="single" w:sz="6" w:space="0" w:color="C7D1DE"/>
          <w:insideV w:val="single" w:sz="6" w:space="0" w:color="C7D1DE"/>
        </w:tblBorders>
        <w:tblInd w:w="120" w:type="dxa"/>
      </w:tblPr>
      <w:tblGrid>
        <w:gridCol w:w="4968"/>
        <w:gridCol w:w="4968"/>
      </w:tblGrid>
      <w:tr>
        <w:trPr>
          <w:tblHeader w:val="true"/>
        </w:trPr>
        <w:tc>
          <w:tcPr>
            <w:tcW w:type="dxa" w:w="2800"/>
            <w:tcMar>
              <w:top w:w="80" w:type="dxa"/>
              <w:start w:w="120" w:type="dxa"/>
              <w:bottom w:w="80" w:type="dxa"/>
              <w:end w:w="120" w:type="dxa"/>
            </w:tcMar>
            <w:vAlign w:val="center"/>
            <w:shd w:fill="E8EEF5"/>
          </w:tcPr>
          <w:p>
            <w:pPr>
              <w:spacing w:after="0" w:line="252" w:lineRule="auto"/>
            </w:pPr>
            <w:r/>
            <w:r>
              <w:rPr>
                <w:rFonts w:ascii="Calibri" w:hAnsi="Calibri"/>
                <w:b/>
                <w:color w:val="0B2545"/>
                <w:sz w:val="18"/>
              </w:rPr>
              <w:t>Audit column</w:t>
            </w:r>
          </w:p>
        </w:tc>
        <w:tc>
          <w:tcPr>
            <w:tcW w:type="dxa" w:w="6320"/>
            <w:tcMar>
              <w:top w:w="80" w:type="dxa"/>
              <w:start w:w="120" w:type="dxa"/>
              <w:bottom w:w="80" w:type="dxa"/>
              <w:end w:w="120" w:type="dxa"/>
            </w:tcMar>
            <w:vAlign w:val="center"/>
            <w:shd w:fill="E8EEF5"/>
          </w:tcPr>
          <w:p>
            <w:pPr>
              <w:spacing w:after="0" w:line="252" w:lineRule="auto"/>
            </w:pPr>
            <w:r/>
            <w:r>
              <w:rPr>
                <w:rFonts w:ascii="Calibri" w:hAnsi="Calibri"/>
                <w:b/>
                <w:color w:val="0B2545"/>
                <w:sz w:val="18"/>
              </w:rPr>
              <w:t>Why it exists</w:t>
            </w:r>
          </w:p>
        </w:tc>
      </w:tr>
      <w:tr>
        <w:tc>
          <w:tcPr>
            <w:tcW w:type="dxa" w:w="4968"/>
          </w:tcPr>
          <w:p>
            <w:pPr>
              <w:spacing w:after="0" w:line="252" w:lineRule="auto"/>
            </w:pPr>
            <w:r/>
            <w:r>
              <w:rPr>
                <w:rFonts w:ascii="Calibri" w:hAnsi="Calibri"/>
                <w:b w:val="0"/>
                <w:color w:val="000000"/>
                <w:sz w:val="18"/>
              </w:rPr>
              <w:t>load_ts / ingestion_date</w:t>
            </w:r>
          </w:p>
        </w:tc>
        <w:tc>
          <w:tcPr>
            <w:tcW w:type="dxa" w:w="4968"/>
          </w:tcPr>
          <w:p>
            <w:pPr>
              <w:spacing w:after="0" w:line="252" w:lineRule="auto"/>
            </w:pPr>
            <w:r/>
            <w:r>
              <w:rPr>
                <w:rFonts w:ascii="Calibri" w:hAnsi="Calibri"/>
                <w:b w:val="0"/>
                <w:color w:val="000000"/>
                <w:sz w:val="18"/>
              </w:rPr>
              <w:t>Shows when the source was ingested and supports load-date reporting.</w:t>
            </w:r>
          </w:p>
        </w:tc>
      </w:tr>
      <w:tr>
        <w:tc>
          <w:tcPr>
            <w:tcW w:type="dxa" w:w="4968"/>
          </w:tcPr>
          <w:p>
            <w:pPr>
              <w:spacing w:after="0" w:line="252" w:lineRule="auto"/>
            </w:pPr>
            <w:r/>
            <w:r>
              <w:rPr>
                <w:rFonts w:ascii="Calibri" w:hAnsi="Calibri"/>
                <w:b w:val="0"/>
                <w:color w:val="000000"/>
                <w:sz w:val="18"/>
              </w:rPr>
              <w:t>source_file / source_s3_uri</w:t>
            </w:r>
          </w:p>
        </w:tc>
        <w:tc>
          <w:tcPr>
            <w:tcW w:type="dxa" w:w="4968"/>
          </w:tcPr>
          <w:p>
            <w:pPr>
              <w:spacing w:after="0" w:line="252" w:lineRule="auto"/>
            </w:pPr>
            <w:r/>
            <w:r>
              <w:rPr>
                <w:rFonts w:ascii="Calibri" w:hAnsi="Calibri"/>
                <w:b w:val="0"/>
                <w:color w:val="000000"/>
                <w:sz w:val="18"/>
              </w:rPr>
              <w:t>Links each transaction to its exact inbound object.</w:t>
            </w:r>
          </w:p>
        </w:tc>
      </w:tr>
      <w:tr>
        <w:tc>
          <w:tcPr>
            <w:tcW w:type="dxa" w:w="4968"/>
          </w:tcPr>
          <w:p>
            <w:pPr>
              <w:spacing w:after="0" w:line="252" w:lineRule="auto"/>
            </w:pPr>
            <w:r/>
            <w:r>
              <w:rPr>
                <w:rFonts w:ascii="Calibri" w:hAnsi="Calibri"/>
                <w:b w:val="0"/>
                <w:color w:val="000000"/>
                <w:sz w:val="18"/>
              </w:rPr>
              <w:t>batch_id</w:t>
            </w:r>
          </w:p>
        </w:tc>
        <w:tc>
          <w:tcPr>
            <w:tcW w:type="dxa" w:w="4968"/>
          </w:tcPr>
          <w:p>
            <w:pPr>
              <w:spacing w:after="0" w:line="252" w:lineRule="auto"/>
            </w:pPr>
            <w:r/>
            <w:r>
              <w:rPr>
                <w:rFonts w:ascii="Calibri" w:hAnsi="Calibri"/>
                <w:b w:val="0"/>
                <w:color w:val="000000"/>
                <w:sz w:val="18"/>
              </w:rPr>
              <w:t>Groups a controlled incremental run from source through Gold.</w:t>
            </w:r>
          </w:p>
        </w:tc>
      </w:tr>
      <w:tr>
        <w:tc>
          <w:tcPr>
            <w:tcW w:type="dxa" w:w="4968"/>
          </w:tcPr>
          <w:p>
            <w:pPr>
              <w:spacing w:after="0" w:line="252" w:lineRule="auto"/>
            </w:pPr>
            <w:r/>
            <w:r>
              <w:rPr>
                <w:rFonts w:ascii="Calibri" w:hAnsi="Calibri"/>
                <w:b w:val="0"/>
                <w:color w:val="000000"/>
                <w:sz w:val="18"/>
              </w:rPr>
              <w:t>pipeline_run_id</w:t>
            </w:r>
          </w:p>
        </w:tc>
        <w:tc>
          <w:tcPr>
            <w:tcW w:type="dxa" w:w="4968"/>
          </w:tcPr>
          <w:p>
            <w:pPr>
              <w:spacing w:after="0" w:line="252" w:lineRule="auto"/>
            </w:pPr>
            <w:r/>
            <w:r>
              <w:rPr>
                <w:rFonts w:ascii="Calibri" w:hAnsi="Calibri"/>
                <w:b w:val="0"/>
                <w:color w:val="000000"/>
                <w:sz w:val="18"/>
              </w:rPr>
              <w:t>Correlates a Databricks processing run with its records.</w:t>
            </w:r>
          </w:p>
        </w:tc>
      </w:tr>
      <w:tr>
        <w:tc>
          <w:tcPr>
            <w:tcW w:type="dxa" w:w="4968"/>
          </w:tcPr>
          <w:p>
            <w:pPr>
              <w:spacing w:after="0" w:line="252" w:lineRule="auto"/>
            </w:pPr>
            <w:r/>
            <w:r>
              <w:rPr>
                <w:rFonts w:ascii="Calibri" w:hAnsi="Calibri"/>
                <w:b w:val="0"/>
                <w:color w:val="000000"/>
                <w:sz w:val="18"/>
              </w:rPr>
              <w:t>source_etag / content_sha256 / file_size_bytes</w:t>
            </w:r>
          </w:p>
        </w:tc>
        <w:tc>
          <w:tcPr>
            <w:tcW w:type="dxa" w:w="4968"/>
          </w:tcPr>
          <w:p>
            <w:pPr>
              <w:spacing w:after="0" w:line="252" w:lineRule="auto"/>
            </w:pPr>
            <w:r/>
            <w:r>
              <w:rPr>
                <w:rFonts w:ascii="Calibri" w:hAnsi="Calibri"/>
                <w:b w:val="0"/>
                <w:color w:val="000000"/>
                <w:sz w:val="18"/>
              </w:rPr>
              <w:t>Identifies the physical S3 object and detects same-content files even when renamed.</w:t>
            </w:r>
          </w:p>
        </w:tc>
      </w:tr>
    </w:tbl>
    <w:p>
      <w:pPr>
        <w:spacing w:after="20"/>
      </w:pPr>
    </w:p>
    <w:p>
      <w:pPr>
        <w:pStyle w:val="Heading1"/>
      </w:pPr>
      <w:r>
        <w:t>7. Bronze Validation Notebook</w:t>
      </w:r>
    </w:p>
    <w:p>
      <w:r>
        <w:t>Validation was separated from the Bronze transformation notebook so the transformation remains readable and validation can be rerun or demonstrated independently. The Bronze validation notebook reads the audit table and Bronze table for the selected batch and source file.</w:t>
      </w:r>
    </w:p>
    <w:tbl>
      <w:tblPr>
        <w:tblStyle w:val="TableGrid"/>
        <w:tblW w:type="dxa" w:w="9120"/>
        <w:tblLayout w:type="fixed"/>
        <w:tblLook w:firstColumn="1" w:firstRow="1" w:lastColumn="0" w:lastRow="0" w:noHBand="0" w:noVBand="1" w:val="04A0"/>
        <w:jc w:val="left"/>
        <w:tblBorders>
          <w:top w:val="single" w:sz="6" w:space="0" w:color="C7D1DE"/>
          <w:left w:val="single" w:sz="6" w:space="0" w:color="C7D1DE"/>
          <w:bottom w:val="single" w:sz="6" w:space="0" w:color="C7D1DE"/>
          <w:right w:val="single" w:sz="6" w:space="0" w:color="C7D1DE"/>
          <w:insideH w:val="single" w:sz="6" w:space="0" w:color="C7D1DE"/>
          <w:insideV w:val="single" w:sz="6" w:space="0" w:color="C7D1DE"/>
        </w:tblBorders>
        <w:tblInd w:w="120" w:type="dxa"/>
      </w:tblPr>
      <w:tblGrid>
        <w:gridCol w:w="4968"/>
        <w:gridCol w:w="4968"/>
      </w:tblGrid>
      <w:tr>
        <w:trPr>
          <w:tblHeader w:val="true"/>
        </w:trPr>
        <w:tc>
          <w:tcPr>
            <w:tcW w:type="dxa" w:w="3120"/>
            <w:tcMar>
              <w:top w:w="80" w:type="dxa"/>
              <w:start w:w="120" w:type="dxa"/>
              <w:bottom w:w="80" w:type="dxa"/>
              <w:end w:w="120" w:type="dxa"/>
            </w:tcMar>
            <w:vAlign w:val="center"/>
            <w:shd w:fill="E8EEF5"/>
          </w:tcPr>
          <w:p>
            <w:pPr>
              <w:spacing w:after="0" w:line="252" w:lineRule="auto"/>
            </w:pPr>
            <w:r/>
            <w:r>
              <w:rPr>
                <w:rFonts w:ascii="Calibri" w:hAnsi="Calibri"/>
                <w:b/>
                <w:color w:val="0B2545"/>
                <w:sz w:val="18"/>
              </w:rPr>
              <w:t>Validation</w:t>
            </w:r>
          </w:p>
        </w:tc>
        <w:tc>
          <w:tcPr>
            <w:tcW w:type="dxa" w:w="6000"/>
            <w:tcMar>
              <w:top w:w="80" w:type="dxa"/>
              <w:start w:w="120" w:type="dxa"/>
              <w:bottom w:w="80" w:type="dxa"/>
              <w:end w:w="120" w:type="dxa"/>
            </w:tcMar>
            <w:vAlign w:val="center"/>
            <w:shd w:fill="E8EEF5"/>
          </w:tcPr>
          <w:p>
            <w:pPr>
              <w:spacing w:after="0" w:line="252" w:lineRule="auto"/>
            </w:pPr>
            <w:r/>
            <w:r>
              <w:rPr>
                <w:rFonts w:ascii="Calibri" w:hAnsi="Calibri"/>
                <w:b/>
                <w:color w:val="0B2545"/>
                <w:sz w:val="18"/>
              </w:rPr>
              <w:t>Expected result / handling</w:t>
            </w:r>
          </w:p>
        </w:tc>
      </w:tr>
      <w:tr>
        <w:tc>
          <w:tcPr>
            <w:tcW w:type="dxa" w:w="4968"/>
          </w:tcPr>
          <w:p>
            <w:pPr>
              <w:spacing w:after="0" w:line="252" w:lineRule="auto"/>
            </w:pPr>
            <w:r/>
            <w:r>
              <w:rPr>
                <w:rFonts w:ascii="Calibri" w:hAnsi="Calibri"/>
                <w:b w:val="0"/>
                <w:color w:val="000000"/>
                <w:sz w:val="18"/>
              </w:rPr>
              <w:t>Source-to-Bronze row reconciliation</w:t>
            </w:r>
          </w:p>
        </w:tc>
        <w:tc>
          <w:tcPr>
            <w:tcW w:type="dxa" w:w="4968"/>
          </w:tcPr>
          <w:p>
            <w:pPr>
              <w:spacing w:after="0" w:line="252" w:lineRule="auto"/>
            </w:pPr>
            <w:r/>
            <w:r>
              <w:rPr>
                <w:rFonts w:ascii="Calibri" w:hAnsi="Calibri"/>
                <w:b w:val="0"/>
                <w:color w:val="000000"/>
                <w:sz w:val="18"/>
              </w:rPr>
              <w:t>Source row count equals Bronze row count for the final design. A mismatch is visible as a failed reconciliation, not hidden.</w:t>
            </w:r>
          </w:p>
        </w:tc>
      </w:tr>
      <w:tr>
        <w:tc>
          <w:tcPr>
            <w:tcW w:type="dxa" w:w="4968"/>
          </w:tcPr>
          <w:p>
            <w:pPr>
              <w:spacing w:after="0" w:line="252" w:lineRule="auto"/>
            </w:pPr>
            <w:r/>
            <w:r>
              <w:rPr>
                <w:rFonts w:ascii="Calibri" w:hAnsi="Calibri"/>
                <w:b w:val="0"/>
                <w:color w:val="000000"/>
                <w:sz w:val="18"/>
              </w:rPr>
              <w:t>Mandatory-field null checks</w:t>
            </w:r>
          </w:p>
        </w:tc>
        <w:tc>
          <w:tcPr>
            <w:tcW w:type="dxa" w:w="4968"/>
          </w:tcPr>
          <w:p>
            <w:pPr>
              <w:spacing w:after="0" w:line="252" w:lineRule="auto"/>
            </w:pPr>
            <w:r/>
            <w:r>
              <w:rPr>
                <w:rFonts w:ascii="Calibri" w:hAnsi="Calibri"/>
                <w:b w:val="0"/>
                <w:color w:val="000000"/>
                <w:sz w:val="18"/>
              </w:rPr>
              <w:t>Time, Amount, and Class should be populated for the provided source.</w:t>
            </w:r>
          </w:p>
        </w:tc>
      </w:tr>
      <w:tr>
        <w:tc>
          <w:tcPr>
            <w:tcW w:type="dxa" w:w="4968"/>
          </w:tcPr>
          <w:p>
            <w:pPr>
              <w:spacing w:after="0" w:line="252" w:lineRule="auto"/>
            </w:pPr>
            <w:r/>
            <w:r>
              <w:rPr>
                <w:rFonts w:ascii="Calibri" w:hAnsi="Calibri"/>
                <w:b w:val="0"/>
                <w:color w:val="000000"/>
                <w:sz w:val="18"/>
              </w:rPr>
              <w:t>Amount validity</w:t>
            </w:r>
          </w:p>
        </w:tc>
        <w:tc>
          <w:tcPr>
            <w:tcW w:type="dxa" w:w="4968"/>
          </w:tcPr>
          <w:p>
            <w:pPr>
              <w:spacing w:after="0" w:line="252" w:lineRule="auto"/>
            </w:pPr>
            <w:r/>
            <w:r>
              <w:rPr>
                <w:rFonts w:ascii="Calibri" w:hAnsi="Calibri"/>
                <w:b w:val="0"/>
                <w:color w:val="000000"/>
                <w:sz w:val="18"/>
              </w:rPr>
              <w:t>Negative amount count must be zero for this source.</w:t>
            </w:r>
          </w:p>
        </w:tc>
      </w:tr>
      <w:tr>
        <w:tc>
          <w:tcPr>
            <w:tcW w:type="dxa" w:w="4968"/>
          </w:tcPr>
          <w:p>
            <w:pPr>
              <w:spacing w:after="0" w:line="252" w:lineRule="auto"/>
            </w:pPr>
            <w:r/>
            <w:r>
              <w:rPr>
                <w:rFonts w:ascii="Calibri" w:hAnsi="Calibri"/>
                <w:b w:val="0"/>
                <w:color w:val="000000"/>
                <w:sz w:val="18"/>
              </w:rPr>
              <w:t>Class validity</w:t>
            </w:r>
          </w:p>
        </w:tc>
        <w:tc>
          <w:tcPr>
            <w:tcW w:type="dxa" w:w="4968"/>
          </w:tcPr>
          <w:p>
            <w:pPr>
              <w:spacing w:after="0" w:line="252" w:lineRule="auto"/>
            </w:pPr>
            <w:r/>
            <w:r>
              <w:rPr>
                <w:rFonts w:ascii="Calibri" w:hAnsi="Calibri"/>
                <w:b w:val="0"/>
                <w:color w:val="000000"/>
                <w:sz w:val="18"/>
              </w:rPr>
              <w:t>Class must be 0 or 1 in the historical source.</w:t>
            </w:r>
          </w:p>
        </w:tc>
      </w:tr>
      <w:tr>
        <w:tc>
          <w:tcPr>
            <w:tcW w:type="dxa" w:w="4968"/>
          </w:tcPr>
          <w:p>
            <w:pPr>
              <w:spacing w:after="0" w:line="252" w:lineRule="auto"/>
            </w:pPr>
            <w:r/>
            <w:r>
              <w:rPr>
                <w:rFonts w:ascii="Calibri" w:hAnsi="Calibri"/>
                <w:b w:val="0"/>
                <w:color w:val="000000"/>
                <w:sz w:val="18"/>
              </w:rPr>
              <w:t>Exact duplicate diagnostic</w:t>
            </w:r>
          </w:p>
        </w:tc>
        <w:tc>
          <w:tcPr>
            <w:tcW w:type="dxa" w:w="4968"/>
          </w:tcPr>
          <w:p>
            <w:pPr>
              <w:spacing w:after="0" w:line="252" w:lineRule="auto"/>
            </w:pPr>
            <w:r/>
            <w:r>
              <w:rPr>
                <w:rFonts w:ascii="Calibri" w:hAnsi="Calibri"/>
                <w:b w:val="0"/>
                <w:color w:val="000000"/>
                <w:sz w:val="18"/>
              </w:rPr>
              <w:t>Reports whether duplicate source records exist. It does not delete them in Bronze.</w:t>
            </w:r>
          </w:p>
        </w:tc>
      </w:tr>
      <w:tr>
        <w:tc>
          <w:tcPr>
            <w:tcW w:type="dxa" w:w="4968"/>
          </w:tcPr>
          <w:p>
            <w:pPr>
              <w:spacing w:after="0" w:line="252" w:lineRule="auto"/>
            </w:pPr>
            <w:r/>
            <w:r>
              <w:rPr>
                <w:rFonts w:ascii="Calibri" w:hAnsi="Calibri"/>
                <w:b w:val="0"/>
                <w:color w:val="000000"/>
                <w:sz w:val="18"/>
              </w:rPr>
              <w:t>Audit status/timestamp check</w:t>
            </w:r>
          </w:p>
        </w:tc>
        <w:tc>
          <w:tcPr>
            <w:tcW w:type="dxa" w:w="4968"/>
          </w:tcPr>
          <w:p>
            <w:pPr>
              <w:spacing w:after="0" w:line="252" w:lineRule="auto"/>
            </w:pPr>
            <w:r/>
            <w:r>
              <w:rPr>
                <w:rFonts w:ascii="Calibri" w:hAnsi="Calibri"/>
                <w:b w:val="0"/>
                <w:color w:val="000000"/>
                <w:sz w:val="18"/>
              </w:rPr>
              <w:t>Confirms the file was recorded as SUCCESS with a completion timestamp.</w:t>
            </w:r>
          </w:p>
        </w:tc>
      </w:tr>
    </w:tbl>
    <w:p>
      <w:pPr>
        <w:spacing w:after="20"/>
      </w:pPr>
    </w:p>
    <w:p>
      <w:pPr>
        <w:pStyle w:val="Heading1"/>
      </w:pPr>
      <w:r>
        <w:t>8. Silver Layer — Standardisation and Review Features</w:t>
      </w:r>
    </w:p>
    <w:p>
      <w:r>
        <w:t>Silver consumes the selected Bronze batch, performs the quality transformations that make the data suitable for analysis, and carries forward the necessary Bronze audit columns. Unlike Bronze, Silver is the appropriate place to remove exact transaction duplicates.</w:t>
      </w:r>
    </w:p>
    <w:p>
      <w:pPr>
        <w:pStyle w:val="Heading2"/>
      </w:pPr>
      <w:r>
        <w:t>8.1 Silver transformations</w:t>
      </w:r>
    </w:p>
    <w:tbl>
      <w:tblPr>
        <w:tblStyle w:val="TableGrid"/>
        <w:tblW w:type="dxa" w:w="9120"/>
        <w:tblLayout w:type="fixed"/>
        <w:tblLook w:firstColumn="1" w:firstRow="1" w:lastColumn="0" w:lastRow="0" w:noHBand="0" w:noVBand="1" w:val="04A0"/>
        <w:jc w:val="left"/>
        <w:tblBorders>
          <w:top w:val="single" w:sz="6" w:space="0" w:color="C7D1DE"/>
          <w:left w:val="single" w:sz="6" w:space="0" w:color="C7D1DE"/>
          <w:bottom w:val="single" w:sz="6" w:space="0" w:color="C7D1DE"/>
          <w:right w:val="single" w:sz="6" w:space="0" w:color="C7D1DE"/>
          <w:insideH w:val="single" w:sz="6" w:space="0" w:color="C7D1DE"/>
          <w:insideV w:val="single" w:sz="6" w:space="0" w:color="C7D1DE"/>
        </w:tblBorders>
        <w:tblInd w:w="120" w:type="dxa"/>
      </w:tblPr>
      <w:tblGrid>
        <w:gridCol w:w="3312"/>
        <w:gridCol w:w="3312"/>
        <w:gridCol w:w="3312"/>
      </w:tblGrid>
      <w:tr>
        <w:trPr>
          <w:tblHeader w:val="true"/>
        </w:trPr>
        <w:tc>
          <w:tcPr>
            <w:tcW w:type="dxa" w:w="2100"/>
            <w:tcMar>
              <w:top w:w="80" w:type="dxa"/>
              <w:start w:w="120" w:type="dxa"/>
              <w:bottom w:w="80" w:type="dxa"/>
              <w:end w:w="120" w:type="dxa"/>
            </w:tcMar>
            <w:vAlign w:val="center"/>
            <w:shd w:fill="E8EEF5"/>
          </w:tcPr>
          <w:p>
            <w:pPr>
              <w:spacing w:after="0" w:line="252" w:lineRule="auto"/>
            </w:pPr>
            <w:r/>
            <w:r>
              <w:rPr>
                <w:rFonts w:ascii="Calibri" w:hAnsi="Calibri"/>
                <w:b/>
                <w:color w:val="0B2545"/>
                <w:sz w:val="18"/>
              </w:rPr>
              <w:t>Transformation</w:t>
            </w:r>
          </w:p>
        </w:tc>
        <w:tc>
          <w:tcPr>
            <w:tcW w:type="dxa" w:w="3600"/>
            <w:tcMar>
              <w:top w:w="80" w:type="dxa"/>
              <w:start w:w="120" w:type="dxa"/>
              <w:bottom w:w="80" w:type="dxa"/>
              <w:end w:w="120" w:type="dxa"/>
            </w:tcMar>
            <w:vAlign w:val="center"/>
            <w:shd w:fill="E8EEF5"/>
          </w:tcPr>
          <w:p>
            <w:pPr>
              <w:spacing w:after="0" w:line="252" w:lineRule="auto"/>
            </w:pPr>
            <w:r/>
            <w:r>
              <w:rPr>
                <w:rFonts w:ascii="Calibri" w:hAnsi="Calibri"/>
                <w:b/>
                <w:color w:val="0B2545"/>
                <w:sz w:val="18"/>
              </w:rPr>
              <w:t>Implementation intent</w:t>
            </w:r>
          </w:p>
        </w:tc>
        <w:tc>
          <w:tcPr>
            <w:tcW w:type="dxa" w:w="3420"/>
            <w:tcMar>
              <w:top w:w="80" w:type="dxa"/>
              <w:start w:w="120" w:type="dxa"/>
              <w:bottom w:w="80" w:type="dxa"/>
              <w:end w:w="120" w:type="dxa"/>
            </w:tcMar>
            <w:vAlign w:val="center"/>
            <w:shd w:fill="E8EEF5"/>
          </w:tcPr>
          <w:p>
            <w:pPr>
              <w:spacing w:after="0" w:line="252" w:lineRule="auto"/>
            </w:pPr>
            <w:r/>
            <w:r>
              <w:rPr>
                <w:rFonts w:ascii="Calibri" w:hAnsi="Calibri"/>
                <w:b/>
                <w:color w:val="0B2545"/>
                <w:sz w:val="18"/>
              </w:rPr>
              <w:t>Reason</w:t>
            </w:r>
          </w:p>
        </w:tc>
      </w:tr>
      <w:tr>
        <w:tc>
          <w:tcPr>
            <w:tcW w:type="dxa" w:w="3312"/>
          </w:tcPr>
          <w:p>
            <w:pPr>
              <w:spacing w:after="0" w:line="252" w:lineRule="auto"/>
            </w:pPr>
            <w:r/>
            <w:r>
              <w:rPr>
                <w:rFonts w:ascii="Calibri" w:hAnsi="Calibri"/>
                <w:b w:val="0"/>
                <w:color w:val="000000"/>
                <w:sz w:val="18"/>
              </w:rPr>
              <w:t>Exact-row deduplication</w:t>
            </w:r>
          </w:p>
        </w:tc>
        <w:tc>
          <w:tcPr>
            <w:tcW w:type="dxa" w:w="3312"/>
          </w:tcPr>
          <w:p>
            <w:pPr>
              <w:spacing w:after="0" w:line="252" w:lineRule="auto"/>
            </w:pPr>
            <w:r/>
            <w:r>
              <w:rPr>
                <w:rFonts w:ascii="Calibri" w:hAnsi="Calibri"/>
                <w:b w:val="0"/>
                <w:color w:val="000000"/>
                <w:sz w:val="18"/>
              </w:rPr>
              <w:t>Remove only 100% identical transaction records based on source transaction fields; do not remove valid similar transactions.</w:t>
            </w:r>
          </w:p>
        </w:tc>
        <w:tc>
          <w:tcPr>
            <w:tcW w:type="dxa" w:w="3312"/>
          </w:tcPr>
          <w:p>
            <w:pPr>
              <w:spacing w:after="0" w:line="252" w:lineRule="auto"/>
            </w:pPr>
            <w:r/>
            <w:r>
              <w:rPr>
                <w:rFonts w:ascii="Calibri" w:hAnsi="Calibri"/>
                <w:b w:val="0"/>
                <w:color w:val="000000"/>
                <w:sz w:val="18"/>
              </w:rPr>
              <w:t>Prevents duplicate analytical counts while preserving raw evidence in Bronze.</w:t>
            </w:r>
          </w:p>
        </w:tc>
      </w:tr>
      <w:tr>
        <w:tc>
          <w:tcPr>
            <w:tcW w:type="dxa" w:w="3312"/>
          </w:tcPr>
          <w:p>
            <w:pPr>
              <w:spacing w:after="0" w:line="252" w:lineRule="auto"/>
            </w:pPr>
            <w:r/>
            <w:r>
              <w:rPr>
                <w:rFonts w:ascii="Calibri" w:hAnsi="Calibri"/>
                <w:b w:val="0"/>
                <w:color w:val="000000"/>
                <w:sz w:val="18"/>
              </w:rPr>
              <w:t>Standardised types and names</w:t>
            </w:r>
          </w:p>
        </w:tc>
        <w:tc>
          <w:tcPr>
            <w:tcW w:type="dxa" w:w="3312"/>
          </w:tcPr>
          <w:p>
            <w:pPr>
              <w:spacing w:after="0" w:line="252" w:lineRule="auto"/>
            </w:pPr>
            <w:r/>
            <w:r>
              <w:rPr>
                <w:rFonts w:ascii="Calibri" w:hAnsi="Calibri"/>
                <w:b w:val="0"/>
                <w:color w:val="000000"/>
                <w:sz w:val="18"/>
              </w:rPr>
              <w:t>Use consistent SQL data types and readable column naming.</w:t>
            </w:r>
          </w:p>
        </w:tc>
        <w:tc>
          <w:tcPr>
            <w:tcW w:type="dxa" w:w="3312"/>
          </w:tcPr>
          <w:p>
            <w:pPr>
              <w:spacing w:after="0" w:line="252" w:lineRule="auto"/>
            </w:pPr>
            <w:r/>
            <w:r>
              <w:rPr>
                <w:rFonts w:ascii="Calibri" w:hAnsi="Calibri"/>
                <w:b w:val="0"/>
                <w:color w:val="000000"/>
                <w:sz w:val="18"/>
              </w:rPr>
              <w:t>Makes downstream SQL, Snowflake, and Streamlit reliable.</w:t>
            </w:r>
          </w:p>
        </w:tc>
      </w:tr>
      <w:tr>
        <w:tc>
          <w:tcPr>
            <w:tcW w:type="dxa" w:w="3312"/>
          </w:tcPr>
          <w:p>
            <w:pPr>
              <w:spacing w:after="0" w:line="252" w:lineRule="auto"/>
            </w:pPr>
            <w:r/>
            <w:r>
              <w:rPr>
                <w:rFonts w:ascii="Calibri" w:hAnsi="Calibri"/>
                <w:b w:val="0"/>
                <w:color w:val="000000"/>
                <w:sz w:val="18"/>
              </w:rPr>
              <w:t>Synthetic transaction timestamp</w:t>
            </w:r>
          </w:p>
        </w:tc>
        <w:tc>
          <w:tcPr>
            <w:tcW w:type="dxa" w:w="3312"/>
          </w:tcPr>
          <w:p>
            <w:pPr>
              <w:spacing w:after="0" w:line="252" w:lineRule="auto"/>
            </w:pPr>
            <w:r/>
            <w:r>
              <w:rPr>
                <w:rFonts w:ascii="Calibri" w:hAnsi="Calibri"/>
                <w:b w:val="0"/>
                <w:color w:val="000000"/>
                <w:sz w:val="18"/>
              </w:rPr>
              <w:t>Add the elapsed Time seconds to a stated project start timestamp.</w:t>
            </w:r>
          </w:p>
        </w:tc>
        <w:tc>
          <w:tcPr>
            <w:tcW w:type="dxa" w:w="3312"/>
          </w:tcPr>
          <w:p>
            <w:pPr>
              <w:spacing w:after="0" w:line="252" w:lineRule="auto"/>
            </w:pPr>
            <w:r/>
            <w:r>
              <w:rPr>
                <w:rFonts w:ascii="Calibri" w:hAnsi="Calibri"/>
                <w:b w:val="0"/>
                <w:color w:val="000000"/>
                <w:sz w:val="18"/>
              </w:rPr>
              <w:t>Enables date, hour, time-segment, and daily dashboard analysis.</w:t>
            </w:r>
          </w:p>
        </w:tc>
      </w:tr>
      <w:tr>
        <w:tc>
          <w:tcPr>
            <w:tcW w:type="dxa" w:w="3312"/>
          </w:tcPr>
          <w:p>
            <w:pPr>
              <w:spacing w:after="0" w:line="252" w:lineRule="auto"/>
            </w:pPr>
            <w:r/>
            <w:r>
              <w:rPr>
                <w:rFonts w:ascii="Calibri" w:hAnsi="Calibri"/>
                <w:b w:val="0"/>
                <w:color w:val="000000"/>
                <w:sz w:val="18"/>
              </w:rPr>
              <w:t>Transaction ID</w:t>
            </w:r>
          </w:p>
        </w:tc>
        <w:tc>
          <w:tcPr>
            <w:tcW w:type="dxa" w:w="3312"/>
          </w:tcPr>
          <w:p>
            <w:pPr>
              <w:spacing w:after="0" w:line="252" w:lineRule="auto"/>
            </w:pPr>
            <w:r/>
            <w:r>
              <w:rPr>
                <w:rFonts w:ascii="Calibri" w:hAnsi="Calibri"/>
                <w:b w:val="0"/>
                <w:color w:val="000000"/>
                <w:sz w:val="18"/>
              </w:rPr>
              <w:t>Create a deterministic transaction key.</w:t>
            </w:r>
          </w:p>
        </w:tc>
        <w:tc>
          <w:tcPr>
            <w:tcW w:type="dxa" w:w="3312"/>
          </w:tcPr>
          <w:p>
            <w:pPr>
              <w:spacing w:after="0" w:line="252" w:lineRule="auto"/>
            </w:pPr>
            <w:r/>
            <w:r>
              <w:rPr>
                <w:rFonts w:ascii="Calibri" w:hAnsi="Calibri"/>
                <w:b w:val="0"/>
                <w:color w:val="000000"/>
                <w:sz w:val="18"/>
              </w:rPr>
              <w:t>Supports joins, queue display, and controlled incremental checks.</w:t>
            </w:r>
          </w:p>
        </w:tc>
      </w:tr>
      <w:tr>
        <w:tc>
          <w:tcPr>
            <w:tcW w:type="dxa" w:w="3312"/>
          </w:tcPr>
          <w:p>
            <w:pPr>
              <w:spacing w:after="0" w:line="252" w:lineRule="auto"/>
            </w:pPr>
            <w:r/>
            <w:r>
              <w:rPr>
                <w:rFonts w:ascii="Calibri" w:hAnsi="Calibri"/>
                <w:b w:val="0"/>
                <w:color w:val="000000"/>
                <w:sz w:val="18"/>
              </w:rPr>
              <w:t>Amount bucket and percentile</w:t>
            </w:r>
          </w:p>
        </w:tc>
        <w:tc>
          <w:tcPr>
            <w:tcW w:type="dxa" w:w="3312"/>
          </w:tcPr>
          <w:p>
            <w:pPr>
              <w:spacing w:after="0" w:line="252" w:lineRule="auto"/>
            </w:pPr>
            <w:r/>
            <w:r>
              <w:rPr>
                <w:rFonts w:ascii="Calibri" w:hAnsi="Calibri"/>
                <w:b w:val="0"/>
                <w:color w:val="000000"/>
                <w:sz w:val="18"/>
              </w:rPr>
              <w:t>Classify amount bands and rank amount in the batch/population.</w:t>
            </w:r>
          </w:p>
        </w:tc>
        <w:tc>
          <w:tcPr>
            <w:tcW w:type="dxa" w:w="3312"/>
          </w:tcPr>
          <w:p>
            <w:pPr>
              <w:spacing w:after="0" w:line="252" w:lineRule="auto"/>
            </w:pPr>
            <w:r/>
            <w:r>
              <w:rPr>
                <w:rFonts w:ascii="Calibri" w:hAnsi="Calibri"/>
                <w:b w:val="0"/>
                <w:color w:val="000000"/>
                <w:sz w:val="18"/>
              </w:rPr>
              <w:t>Supports amount distribution analysis and outlier context.</w:t>
            </w:r>
          </w:p>
        </w:tc>
      </w:tr>
      <w:tr>
        <w:tc>
          <w:tcPr>
            <w:tcW w:type="dxa" w:w="3312"/>
          </w:tcPr>
          <w:p>
            <w:pPr>
              <w:spacing w:after="0" w:line="252" w:lineRule="auto"/>
            </w:pPr>
            <w:r/>
            <w:r>
              <w:rPr>
                <w:rFonts w:ascii="Calibri" w:hAnsi="Calibri"/>
                <w:b w:val="0"/>
                <w:color w:val="000000"/>
                <w:sz w:val="18"/>
              </w:rPr>
              <w:t>Amount z-score / outlier flag</w:t>
            </w:r>
          </w:p>
        </w:tc>
        <w:tc>
          <w:tcPr>
            <w:tcW w:type="dxa" w:w="3312"/>
          </w:tcPr>
          <w:p>
            <w:pPr>
              <w:spacing w:after="0" w:line="252" w:lineRule="auto"/>
            </w:pPr>
            <w:r/>
            <w:r>
              <w:rPr>
                <w:rFonts w:ascii="Calibri" w:hAnsi="Calibri"/>
                <w:b w:val="0"/>
                <w:color w:val="000000"/>
                <w:sz w:val="18"/>
              </w:rPr>
              <w:t>Measure relative amount deviation using a documented statistical rule.</w:t>
            </w:r>
          </w:p>
        </w:tc>
        <w:tc>
          <w:tcPr>
            <w:tcW w:type="dxa" w:w="3312"/>
          </w:tcPr>
          <w:p>
            <w:pPr>
              <w:spacing w:after="0" w:line="252" w:lineRule="auto"/>
            </w:pPr>
            <w:r/>
            <w:r>
              <w:rPr>
                <w:rFonts w:ascii="Calibri" w:hAnsi="Calibri"/>
                <w:b w:val="0"/>
                <w:color w:val="000000"/>
                <w:sz w:val="18"/>
              </w:rPr>
              <w:t>Provides a contextual review signal; high amount alone is not proof of fraud.</w:t>
            </w:r>
          </w:p>
        </w:tc>
      </w:tr>
      <w:tr>
        <w:tc>
          <w:tcPr>
            <w:tcW w:type="dxa" w:w="3312"/>
          </w:tcPr>
          <w:p>
            <w:pPr>
              <w:spacing w:after="0" w:line="252" w:lineRule="auto"/>
            </w:pPr>
            <w:r/>
            <w:r>
              <w:rPr>
                <w:rFonts w:ascii="Calibri" w:hAnsi="Calibri"/>
                <w:b w:val="0"/>
                <w:color w:val="000000"/>
                <w:sz w:val="18"/>
              </w:rPr>
              <w:t>Rapid-repeat flag</w:t>
            </w:r>
          </w:p>
        </w:tc>
        <w:tc>
          <w:tcPr>
            <w:tcW w:type="dxa" w:w="3312"/>
          </w:tcPr>
          <w:p>
            <w:pPr>
              <w:spacing w:after="0" w:line="252" w:lineRule="auto"/>
            </w:pPr>
            <w:r/>
            <w:r>
              <w:rPr>
                <w:rFonts w:ascii="Calibri" w:hAnsi="Calibri"/>
                <w:b w:val="0"/>
                <w:color w:val="000000"/>
                <w:sz w:val="18"/>
              </w:rPr>
              <w:t>Identify unusually close transactions in the synthetic time sequence.</w:t>
            </w:r>
          </w:p>
        </w:tc>
        <w:tc>
          <w:tcPr>
            <w:tcW w:type="dxa" w:w="3312"/>
          </w:tcPr>
          <w:p>
            <w:pPr>
              <w:spacing w:after="0" w:line="252" w:lineRule="auto"/>
            </w:pPr>
            <w:r/>
            <w:r>
              <w:rPr>
                <w:rFonts w:ascii="Calibri" w:hAnsi="Calibri"/>
                <w:b w:val="0"/>
                <w:color w:val="000000"/>
                <w:sz w:val="18"/>
              </w:rPr>
              <w:t>Provides temporal repetition context for analyst prioritisation.</w:t>
            </w:r>
          </w:p>
        </w:tc>
      </w:tr>
      <w:tr>
        <w:tc>
          <w:tcPr>
            <w:tcW w:type="dxa" w:w="3312"/>
          </w:tcPr>
          <w:p>
            <w:pPr>
              <w:spacing w:after="0" w:line="252" w:lineRule="auto"/>
            </w:pPr>
            <w:r/>
            <w:r>
              <w:rPr>
                <w:rFonts w:ascii="Calibri" w:hAnsi="Calibri"/>
                <w:b w:val="0"/>
                <w:color w:val="000000"/>
                <w:sz w:val="18"/>
              </w:rPr>
              <w:t>Repeated anonymised-pattern flag</w:t>
            </w:r>
          </w:p>
        </w:tc>
        <w:tc>
          <w:tcPr>
            <w:tcW w:type="dxa" w:w="3312"/>
          </w:tcPr>
          <w:p>
            <w:pPr>
              <w:spacing w:after="0" w:line="252" w:lineRule="auto"/>
            </w:pPr>
            <w:r/>
            <w:r>
              <w:rPr>
                <w:rFonts w:ascii="Calibri" w:hAnsi="Calibri"/>
                <w:b w:val="0"/>
                <w:color w:val="000000"/>
                <w:sz w:val="18"/>
              </w:rPr>
              <w:t>Identifies repeat occurrence of a selected V-feature pattern without claiming its business meaning.</w:t>
            </w:r>
          </w:p>
        </w:tc>
        <w:tc>
          <w:tcPr>
            <w:tcW w:type="dxa" w:w="3312"/>
          </w:tcPr>
          <w:p>
            <w:pPr>
              <w:spacing w:after="0" w:line="252" w:lineRule="auto"/>
            </w:pPr>
            <w:r/>
            <w:r>
              <w:rPr>
                <w:rFonts w:ascii="Calibri" w:hAnsi="Calibri"/>
                <w:b w:val="0"/>
                <w:color w:val="000000"/>
                <w:sz w:val="18"/>
              </w:rPr>
              <w:t>Adds an explainable technical pattern signal despite anonymised fields.</w:t>
            </w:r>
          </w:p>
        </w:tc>
      </w:tr>
      <w:tr>
        <w:tc>
          <w:tcPr>
            <w:tcW w:type="dxa" w:w="3312"/>
          </w:tcPr>
          <w:p>
            <w:pPr>
              <w:spacing w:after="0" w:line="252" w:lineRule="auto"/>
            </w:pPr>
            <w:r/>
            <w:r>
              <w:rPr>
                <w:rFonts w:ascii="Calibri" w:hAnsi="Calibri"/>
                <w:b w:val="0"/>
                <w:color w:val="000000"/>
                <w:sz w:val="18"/>
              </w:rPr>
              <w:t>Review score and review priority</w:t>
            </w:r>
          </w:p>
        </w:tc>
        <w:tc>
          <w:tcPr>
            <w:tcW w:type="dxa" w:w="3312"/>
          </w:tcPr>
          <w:p>
            <w:pPr>
              <w:spacing w:after="0" w:line="252" w:lineRule="auto"/>
            </w:pPr>
            <w:r/>
            <w:r>
              <w:rPr>
                <w:rFonts w:ascii="Calibri" w:hAnsi="Calibri"/>
                <w:b w:val="0"/>
                <w:color w:val="000000"/>
                <w:sz w:val="18"/>
              </w:rPr>
              <w:t>Combine multiple signals into High, Medium, or Low review priority.</w:t>
            </w:r>
          </w:p>
        </w:tc>
        <w:tc>
          <w:tcPr>
            <w:tcW w:type="dxa" w:w="3312"/>
          </w:tcPr>
          <w:p>
            <w:pPr>
              <w:spacing w:after="0" w:line="252" w:lineRule="auto"/>
            </w:pPr>
            <w:r/>
            <w:r>
              <w:rPr>
                <w:rFonts w:ascii="Calibri" w:hAnsi="Calibri"/>
                <w:b w:val="0"/>
                <w:color w:val="000000"/>
                <w:sz w:val="18"/>
              </w:rPr>
              <w:t>Orders analyst work. It is not a fraud prediction or decision.</w:t>
            </w:r>
          </w:p>
        </w:tc>
      </w:tr>
    </w:tbl>
    <w:p>
      <w:pPr>
        <w:spacing w:after="20"/>
      </w:pPr>
    </w:p>
    <w:p>
      <w:pPr>
        <w:pStyle w:val="Heading2"/>
      </w:pPr>
      <w:r>
        <w:t>8.2 Final Silver fields retained for Gold</w:t>
      </w:r>
    </w:p>
    <w:tbl>
      <w:tblPr>
        <w:tblStyle w:val="TableGrid"/>
        <w:tblW w:type="dxa" w:w="9120"/>
        <w:tblLayout w:type="fixed"/>
        <w:tblLook w:firstColumn="1" w:firstRow="1" w:lastColumn="0" w:lastRow="0" w:noHBand="0" w:noVBand="1" w:val="04A0"/>
        <w:jc w:val="left"/>
        <w:tblBorders>
          <w:top w:val="single" w:sz="6" w:space="0" w:color="C7D1DE"/>
          <w:left w:val="single" w:sz="6" w:space="0" w:color="C7D1DE"/>
          <w:bottom w:val="single" w:sz="6" w:space="0" w:color="C7D1DE"/>
          <w:right w:val="single" w:sz="6" w:space="0" w:color="C7D1DE"/>
          <w:insideH w:val="single" w:sz="6" w:space="0" w:color="C7D1DE"/>
          <w:insideV w:val="single" w:sz="6" w:space="0" w:color="C7D1DE"/>
        </w:tblBorders>
        <w:tblInd w:w="120" w:type="dxa"/>
      </w:tblPr>
      <w:tblGrid>
        <w:gridCol w:w="3312"/>
        <w:gridCol w:w="3312"/>
        <w:gridCol w:w="3312"/>
      </w:tblGrid>
      <w:tr>
        <w:trPr>
          <w:tblHeader w:val="true"/>
        </w:trPr>
        <w:tc>
          <w:tcPr>
            <w:tcW w:type="dxa" w:w="1740"/>
            <w:tcMar>
              <w:top w:w="80" w:type="dxa"/>
              <w:start w:w="120" w:type="dxa"/>
              <w:bottom w:w="80" w:type="dxa"/>
              <w:end w:w="120" w:type="dxa"/>
            </w:tcMar>
            <w:vAlign w:val="center"/>
            <w:shd w:fill="E8EEF5"/>
          </w:tcPr>
          <w:p>
            <w:pPr>
              <w:spacing w:after="0" w:line="252" w:lineRule="auto"/>
            </w:pPr>
            <w:r/>
            <w:r>
              <w:rPr>
                <w:rFonts w:ascii="Calibri" w:hAnsi="Calibri"/>
                <w:b/>
                <w:color w:val="0B2545"/>
                <w:sz w:val="18"/>
              </w:rPr>
              <w:t>Field group</w:t>
            </w:r>
          </w:p>
        </w:tc>
        <w:tc>
          <w:tcPr>
            <w:tcW w:type="dxa" w:w="4300"/>
            <w:tcMar>
              <w:top w:w="80" w:type="dxa"/>
              <w:start w:w="120" w:type="dxa"/>
              <w:bottom w:w="80" w:type="dxa"/>
              <w:end w:w="120" w:type="dxa"/>
            </w:tcMar>
            <w:vAlign w:val="center"/>
            <w:shd w:fill="E8EEF5"/>
          </w:tcPr>
          <w:p>
            <w:pPr>
              <w:spacing w:after="0" w:line="252" w:lineRule="auto"/>
            </w:pPr>
            <w:r/>
            <w:r>
              <w:rPr>
                <w:rFonts w:ascii="Calibri" w:hAnsi="Calibri"/>
                <w:b/>
                <w:color w:val="0B2545"/>
                <w:sz w:val="18"/>
              </w:rPr>
              <w:t>Key fields</w:t>
            </w:r>
          </w:p>
        </w:tc>
        <w:tc>
          <w:tcPr>
            <w:tcW w:type="dxa" w:w="3080"/>
            <w:tcMar>
              <w:top w:w="80" w:type="dxa"/>
              <w:start w:w="120" w:type="dxa"/>
              <w:bottom w:w="80" w:type="dxa"/>
              <w:end w:w="120" w:type="dxa"/>
            </w:tcMar>
            <w:vAlign w:val="center"/>
            <w:shd w:fill="E8EEF5"/>
          </w:tcPr>
          <w:p>
            <w:pPr>
              <w:spacing w:after="0" w:line="252" w:lineRule="auto"/>
            </w:pPr>
            <w:r/>
            <w:r>
              <w:rPr>
                <w:rFonts w:ascii="Calibri" w:hAnsi="Calibri"/>
                <w:b/>
                <w:color w:val="0B2545"/>
                <w:sz w:val="18"/>
              </w:rPr>
              <w:t>Use in Gold / dashboard</w:t>
            </w:r>
          </w:p>
        </w:tc>
      </w:tr>
      <w:tr>
        <w:tc>
          <w:tcPr>
            <w:tcW w:type="dxa" w:w="3312"/>
          </w:tcPr>
          <w:p>
            <w:pPr>
              <w:spacing w:after="0" w:line="252" w:lineRule="auto"/>
            </w:pPr>
            <w:r/>
            <w:r>
              <w:rPr>
                <w:rFonts w:ascii="Calibri" w:hAnsi="Calibri"/>
                <w:b w:val="0"/>
                <w:color w:val="000000"/>
                <w:sz w:val="18"/>
              </w:rPr>
              <w:t>Identity and time</w:t>
            </w:r>
          </w:p>
        </w:tc>
        <w:tc>
          <w:tcPr>
            <w:tcW w:type="dxa" w:w="3312"/>
          </w:tcPr>
          <w:p>
            <w:pPr>
              <w:spacing w:after="0" w:line="252" w:lineRule="auto"/>
            </w:pPr>
            <w:r/>
            <w:r>
              <w:rPr>
                <w:rFonts w:ascii="Calibri" w:hAnsi="Calibri"/>
                <w:b w:val="0"/>
                <w:color w:val="000000"/>
                <w:sz w:val="18"/>
              </w:rPr>
              <w:t>transaction_id, transaction_timestamp, transaction_date, transaction_hour, time_of_day, time_band</w:t>
            </w:r>
          </w:p>
        </w:tc>
        <w:tc>
          <w:tcPr>
            <w:tcW w:type="dxa" w:w="3312"/>
          </w:tcPr>
          <w:p>
            <w:pPr>
              <w:spacing w:after="0" w:line="252" w:lineRule="auto"/>
            </w:pPr>
            <w:r/>
            <w:r>
              <w:rPr>
                <w:rFonts w:ascii="Calibri" w:hAnsi="Calibri"/>
                <w:b w:val="0"/>
                <w:color w:val="000000"/>
                <w:sz w:val="18"/>
              </w:rPr>
              <w:t>Daily trend, time-window analysis, analyst queue.</w:t>
            </w:r>
          </w:p>
        </w:tc>
      </w:tr>
      <w:tr>
        <w:tc>
          <w:tcPr>
            <w:tcW w:type="dxa" w:w="3312"/>
          </w:tcPr>
          <w:p>
            <w:pPr>
              <w:spacing w:after="0" w:line="252" w:lineRule="auto"/>
            </w:pPr>
            <w:r/>
            <w:r>
              <w:rPr>
                <w:rFonts w:ascii="Calibri" w:hAnsi="Calibri"/>
                <w:b w:val="0"/>
                <w:color w:val="000000"/>
                <w:sz w:val="18"/>
              </w:rPr>
              <w:t>Amount context</w:t>
            </w:r>
          </w:p>
        </w:tc>
        <w:tc>
          <w:tcPr>
            <w:tcW w:type="dxa" w:w="3312"/>
          </w:tcPr>
          <w:p>
            <w:pPr>
              <w:spacing w:after="0" w:line="252" w:lineRule="auto"/>
            </w:pPr>
            <w:r/>
            <w:r>
              <w:rPr>
                <w:rFonts w:ascii="Calibri" w:hAnsi="Calibri"/>
                <w:b w:val="0"/>
                <w:color w:val="000000"/>
                <w:sz w:val="18"/>
              </w:rPr>
              <w:t>amount, amount_bucket, amount_percentile, amount_z_score, amount_outlier_flag</w:t>
            </w:r>
          </w:p>
        </w:tc>
        <w:tc>
          <w:tcPr>
            <w:tcW w:type="dxa" w:w="3312"/>
          </w:tcPr>
          <w:p>
            <w:pPr>
              <w:spacing w:after="0" w:line="252" w:lineRule="auto"/>
            </w:pPr>
            <w:r/>
            <w:r>
              <w:rPr>
                <w:rFonts w:ascii="Calibri" w:hAnsi="Calibri"/>
                <w:b w:val="0"/>
                <w:color w:val="000000"/>
                <w:sz w:val="18"/>
              </w:rPr>
              <w:t>Amount analysis and review explanation.</w:t>
            </w:r>
          </w:p>
        </w:tc>
      </w:tr>
      <w:tr>
        <w:tc>
          <w:tcPr>
            <w:tcW w:type="dxa" w:w="3312"/>
          </w:tcPr>
          <w:p>
            <w:pPr>
              <w:spacing w:after="0" w:line="252" w:lineRule="auto"/>
            </w:pPr>
            <w:r/>
            <w:r>
              <w:rPr>
                <w:rFonts w:ascii="Calibri" w:hAnsi="Calibri"/>
                <w:b w:val="0"/>
                <w:color w:val="000000"/>
                <w:sz w:val="18"/>
              </w:rPr>
              <w:t>Historical label</w:t>
            </w:r>
          </w:p>
        </w:tc>
        <w:tc>
          <w:tcPr>
            <w:tcW w:type="dxa" w:w="3312"/>
          </w:tcPr>
          <w:p>
            <w:pPr>
              <w:spacing w:after="0" w:line="252" w:lineRule="auto"/>
            </w:pPr>
            <w:r/>
            <w:r>
              <w:rPr>
                <w:rFonts w:ascii="Calibri" w:hAnsi="Calibri"/>
                <w:b w:val="0"/>
                <w:color w:val="000000"/>
                <w:sz w:val="18"/>
              </w:rPr>
              <w:t>fraud_label</w:t>
            </w:r>
          </w:p>
        </w:tc>
        <w:tc>
          <w:tcPr>
            <w:tcW w:type="dxa" w:w="3312"/>
          </w:tcPr>
          <w:p>
            <w:pPr>
              <w:spacing w:after="0" w:line="252" w:lineRule="auto"/>
            </w:pPr>
            <w:r/>
            <w:r>
              <w:rPr>
                <w:rFonts w:ascii="Calibri" w:hAnsi="Calibri"/>
                <w:b w:val="0"/>
                <w:color w:val="000000"/>
                <w:sz w:val="18"/>
              </w:rPr>
              <w:t>Historical reporting only; not used to decide priority.</w:t>
            </w:r>
          </w:p>
        </w:tc>
      </w:tr>
      <w:tr>
        <w:tc>
          <w:tcPr>
            <w:tcW w:type="dxa" w:w="3312"/>
          </w:tcPr>
          <w:p>
            <w:pPr>
              <w:spacing w:after="0" w:line="252" w:lineRule="auto"/>
            </w:pPr>
            <w:r/>
            <w:r>
              <w:rPr>
                <w:rFonts w:ascii="Calibri" w:hAnsi="Calibri"/>
                <w:b w:val="0"/>
                <w:color w:val="000000"/>
                <w:sz w:val="18"/>
              </w:rPr>
              <w:t>Pattern signals</w:t>
            </w:r>
          </w:p>
        </w:tc>
        <w:tc>
          <w:tcPr>
            <w:tcW w:type="dxa" w:w="3312"/>
          </w:tcPr>
          <w:p>
            <w:pPr>
              <w:spacing w:after="0" w:line="252" w:lineRule="auto"/>
            </w:pPr>
            <w:r/>
            <w:r>
              <w:rPr>
                <w:rFonts w:ascii="Calibri" w:hAnsi="Calibri"/>
                <w:b w:val="0"/>
                <w:color w:val="000000"/>
                <w:sz w:val="18"/>
              </w:rPr>
              <w:t>rapid_repeat_flag, repeated_anonymized_pattern_flag</w:t>
            </w:r>
          </w:p>
        </w:tc>
        <w:tc>
          <w:tcPr>
            <w:tcW w:type="dxa" w:w="3312"/>
          </w:tcPr>
          <w:p>
            <w:pPr>
              <w:spacing w:after="0" w:line="252" w:lineRule="auto"/>
            </w:pPr>
            <w:r/>
            <w:r>
              <w:rPr>
                <w:rFonts w:ascii="Calibri" w:hAnsi="Calibri"/>
                <w:b w:val="0"/>
                <w:color w:val="000000"/>
                <w:sz w:val="18"/>
              </w:rPr>
              <w:t>Operational triage and review context.</w:t>
            </w:r>
          </w:p>
        </w:tc>
      </w:tr>
      <w:tr>
        <w:tc>
          <w:tcPr>
            <w:tcW w:type="dxa" w:w="3312"/>
          </w:tcPr>
          <w:p>
            <w:pPr>
              <w:spacing w:after="0" w:line="252" w:lineRule="auto"/>
            </w:pPr>
            <w:r/>
            <w:r>
              <w:rPr>
                <w:rFonts w:ascii="Calibri" w:hAnsi="Calibri"/>
                <w:b w:val="0"/>
                <w:color w:val="000000"/>
                <w:sz w:val="18"/>
              </w:rPr>
              <w:t>Priority output</w:t>
            </w:r>
          </w:p>
        </w:tc>
        <w:tc>
          <w:tcPr>
            <w:tcW w:type="dxa" w:w="3312"/>
          </w:tcPr>
          <w:p>
            <w:pPr>
              <w:spacing w:after="0" w:line="252" w:lineRule="auto"/>
            </w:pPr>
            <w:r/>
            <w:r>
              <w:rPr>
                <w:rFonts w:ascii="Calibri" w:hAnsi="Calibri"/>
                <w:b w:val="0"/>
                <w:color w:val="000000"/>
                <w:sz w:val="18"/>
              </w:rPr>
              <w:t>review_score, review_priority</w:t>
            </w:r>
          </w:p>
        </w:tc>
        <w:tc>
          <w:tcPr>
            <w:tcW w:type="dxa" w:w="3312"/>
          </w:tcPr>
          <w:p>
            <w:pPr>
              <w:spacing w:after="0" w:line="252" w:lineRule="auto"/>
            </w:pPr>
            <w:r/>
            <w:r>
              <w:rPr>
                <w:rFonts w:ascii="Calibri" w:hAnsi="Calibri"/>
                <w:b w:val="0"/>
                <w:color w:val="000000"/>
                <w:sz w:val="18"/>
              </w:rPr>
              <w:t>Primary sorting/filtering fields for analyst workload.</w:t>
            </w:r>
          </w:p>
        </w:tc>
      </w:tr>
      <w:tr>
        <w:tc>
          <w:tcPr>
            <w:tcW w:type="dxa" w:w="3312"/>
          </w:tcPr>
          <w:p>
            <w:pPr>
              <w:spacing w:after="0" w:line="252" w:lineRule="auto"/>
            </w:pPr>
            <w:r/>
            <w:r>
              <w:rPr>
                <w:rFonts w:ascii="Calibri" w:hAnsi="Calibri"/>
                <w:b w:val="0"/>
                <w:color w:val="000000"/>
                <w:sz w:val="18"/>
              </w:rPr>
              <w:t>Operational lineage</w:t>
            </w:r>
          </w:p>
        </w:tc>
        <w:tc>
          <w:tcPr>
            <w:tcW w:type="dxa" w:w="3312"/>
          </w:tcPr>
          <w:p>
            <w:pPr>
              <w:spacing w:after="0" w:line="252" w:lineRule="auto"/>
            </w:pPr>
            <w:r/>
            <w:r>
              <w:rPr>
                <w:rFonts w:ascii="Calibri" w:hAnsi="Calibri"/>
                <w:b w:val="0"/>
                <w:color w:val="000000"/>
                <w:sz w:val="18"/>
              </w:rPr>
              <w:t>batch_id, source_file, source_s3_uri, ingestion_date, load_ts, pipeline_run_id</w:t>
            </w:r>
          </w:p>
        </w:tc>
        <w:tc>
          <w:tcPr>
            <w:tcW w:type="dxa" w:w="3312"/>
          </w:tcPr>
          <w:p>
            <w:pPr>
              <w:spacing w:after="0" w:line="252" w:lineRule="auto"/>
            </w:pPr>
            <w:r/>
            <w:r>
              <w:rPr>
                <w:rFonts w:ascii="Calibri" w:hAnsi="Calibri"/>
                <w:b w:val="0"/>
                <w:color w:val="000000"/>
                <w:sz w:val="18"/>
              </w:rPr>
              <w:t>Trace a downstream record back to the inbound file and run.</w:t>
            </w:r>
          </w:p>
        </w:tc>
      </w:tr>
    </w:tbl>
    <w:p>
      <w:pPr>
        <w:spacing w:after="20"/>
      </w:pPr>
    </w:p>
    <w:tbl>
      <w:tblPr>
        <w:tblStyle w:val="TableGrid"/>
        <w:tblW w:type="dxa" w:w="9120"/>
        <w:tblLayout w:type="fixed"/>
        <w:tblLook w:firstColumn="1" w:firstRow="1" w:lastColumn="0" w:lastRow="0" w:noHBand="0" w:noVBand="1" w:val="04A0"/>
        <w:jc w:val="left"/>
        <w:tblBorders>
          <w:top w:val="single" w:sz="6" w:space="0" w:color="B9D8D3"/>
          <w:left w:val="single" w:sz="6" w:space="0" w:color="B9D8D3"/>
          <w:bottom w:val="single" w:sz="6" w:space="0" w:color="B9D8D3"/>
          <w:right w:val="single" w:sz="6" w:space="0" w:color="B9D8D3"/>
          <w:insideH w:val="single" w:sz="6" w:space="0" w:color="B9D8D3"/>
          <w:insideV w:val="single" w:sz="6" w:space="0" w:color="B9D8D3"/>
        </w:tblBorders>
        <w:tblInd w:w="120" w:type="dxa"/>
      </w:tblPr>
      <w:tblGrid>
        <w:gridCol w:w="9936"/>
      </w:tblGrid>
      <w:tr>
        <w:tc>
          <w:tcPr>
            <w:tcW w:type="dxa" w:w="9120"/>
            <w:tcMar>
              <w:top w:w="80" w:type="dxa"/>
              <w:start w:w="120" w:type="dxa"/>
              <w:bottom w:w="80" w:type="dxa"/>
              <w:end w:w="120" w:type="dxa"/>
            </w:tcMar>
            <w:vAlign w:val="center"/>
            <w:shd w:fill="FFF7E0"/>
          </w:tcPr>
          <w:p>
            <w:pPr>
              <w:spacing w:after="0" w:line="264" w:lineRule="auto"/>
            </w:pPr>
            <w:r/>
            <w:r>
              <w:rPr>
                <w:b/>
                <w:color w:val="0F766E"/>
              </w:rPr>
              <w:t xml:space="preserve">Why some exploratory fields were removed: </w:t>
            </w:r>
            <w:r>
              <w:rPr>
                <w:color w:val="0B2545"/>
              </w:rPr>
              <w:t>Fields such as amount_normalized, decile/quartile/dense-rank, multiple redundant time windows, previous/next value helpers, and unused intermediate pattern keys were removed because they did not drive Gold reporting or explain a review decision. The final model keeps only fields with a demonstrated consumer or operational purpose.</w:t>
            </w:r>
          </w:p>
        </w:tc>
      </w:tr>
    </w:tbl>
    <w:p>
      <w:pPr>
        <w:spacing w:after="20"/>
      </w:pPr>
    </w:p>
    <w:p>
      <w:pPr>
        <w:pStyle w:val="Heading1"/>
      </w:pPr>
      <w:r>
        <w:t>9. Silver Validation and Incremental Controls</w:t>
      </w:r>
    </w:p>
    <w:tbl>
      <w:tblPr>
        <w:tblStyle w:val="TableGrid"/>
        <w:tblW w:type="dxa" w:w="9120"/>
        <w:tblLayout w:type="fixed"/>
        <w:tblLook w:firstColumn="1" w:firstRow="1" w:lastColumn="0" w:lastRow="0" w:noHBand="0" w:noVBand="1" w:val="04A0"/>
        <w:jc w:val="left"/>
        <w:tblBorders>
          <w:top w:val="single" w:sz="6" w:space="0" w:color="C7D1DE"/>
          <w:left w:val="single" w:sz="6" w:space="0" w:color="C7D1DE"/>
          <w:bottom w:val="single" w:sz="6" w:space="0" w:color="C7D1DE"/>
          <w:right w:val="single" w:sz="6" w:space="0" w:color="C7D1DE"/>
          <w:insideH w:val="single" w:sz="6" w:space="0" w:color="C7D1DE"/>
          <w:insideV w:val="single" w:sz="6" w:space="0" w:color="C7D1DE"/>
        </w:tblBorders>
        <w:tblInd w:w="120" w:type="dxa"/>
      </w:tblPr>
      <w:tblGrid>
        <w:gridCol w:w="4968"/>
        <w:gridCol w:w="4968"/>
      </w:tblGrid>
      <w:tr>
        <w:trPr>
          <w:tblHeader w:val="true"/>
        </w:trPr>
        <w:tc>
          <w:tcPr>
            <w:tcW w:type="dxa" w:w="2800"/>
            <w:tcMar>
              <w:top w:w="80" w:type="dxa"/>
              <w:start w:w="120" w:type="dxa"/>
              <w:bottom w:w="80" w:type="dxa"/>
              <w:end w:w="120" w:type="dxa"/>
            </w:tcMar>
            <w:vAlign w:val="center"/>
            <w:shd w:fill="E8EEF5"/>
          </w:tcPr>
          <w:p>
            <w:pPr>
              <w:spacing w:after="0" w:line="252" w:lineRule="auto"/>
            </w:pPr>
            <w:r/>
            <w:r>
              <w:rPr>
                <w:rFonts w:ascii="Calibri" w:hAnsi="Calibri"/>
                <w:b/>
                <w:color w:val="0B2545"/>
                <w:sz w:val="18"/>
              </w:rPr>
              <w:t>Control</w:t>
            </w:r>
          </w:p>
        </w:tc>
        <w:tc>
          <w:tcPr>
            <w:tcW w:type="dxa" w:w="6320"/>
            <w:tcMar>
              <w:top w:w="80" w:type="dxa"/>
              <w:start w:w="120" w:type="dxa"/>
              <w:bottom w:w="80" w:type="dxa"/>
              <w:end w:w="120" w:type="dxa"/>
            </w:tcMar>
            <w:vAlign w:val="center"/>
            <w:shd w:fill="E8EEF5"/>
          </w:tcPr>
          <w:p>
            <w:pPr>
              <w:spacing w:after="0" w:line="252" w:lineRule="auto"/>
            </w:pPr>
            <w:r/>
            <w:r>
              <w:rPr>
                <w:rFonts w:ascii="Calibri" w:hAnsi="Calibri"/>
                <w:b/>
                <w:color w:val="0B2545"/>
                <w:sz w:val="18"/>
              </w:rPr>
              <w:t>How it works</w:t>
            </w:r>
          </w:p>
        </w:tc>
      </w:tr>
      <w:tr>
        <w:tc>
          <w:tcPr>
            <w:tcW w:type="dxa" w:w="4968"/>
          </w:tcPr>
          <w:p>
            <w:pPr>
              <w:spacing w:after="0" w:line="252" w:lineRule="auto"/>
            </w:pPr>
            <w:r/>
            <w:r>
              <w:rPr>
                <w:rFonts w:ascii="Calibri" w:hAnsi="Calibri"/>
                <w:b w:val="0"/>
                <w:color w:val="000000"/>
                <w:sz w:val="18"/>
              </w:rPr>
              <w:t>Bronze-to-Silver reconciliation</w:t>
            </w:r>
          </w:p>
        </w:tc>
        <w:tc>
          <w:tcPr>
            <w:tcW w:type="dxa" w:w="4968"/>
          </w:tcPr>
          <w:p>
            <w:pPr>
              <w:spacing w:after="0" w:line="252" w:lineRule="auto"/>
            </w:pPr>
            <w:r/>
            <w:r>
              <w:rPr>
                <w:rFonts w:ascii="Calibri" w:hAnsi="Calibri"/>
                <w:b w:val="0"/>
                <w:color w:val="000000"/>
                <w:sz w:val="18"/>
              </w:rPr>
              <w:t>Compare selected batch counts; any exact duplicate reduction is explicitly recorded and explainable.</w:t>
            </w:r>
          </w:p>
        </w:tc>
      </w:tr>
      <w:tr>
        <w:tc>
          <w:tcPr>
            <w:tcW w:type="dxa" w:w="4968"/>
          </w:tcPr>
          <w:p>
            <w:pPr>
              <w:spacing w:after="0" w:line="252" w:lineRule="auto"/>
            </w:pPr>
            <w:r/>
            <w:r>
              <w:rPr>
                <w:rFonts w:ascii="Calibri" w:hAnsi="Calibri"/>
                <w:b w:val="0"/>
                <w:color w:val="000000"/>
                <w:sz w:val="18"/>
              </w:rPr>
              <w:t>Silver audit table</w:t>
            </w:r>
          </w:p>
        </w:tc>
        <w:tc>
          <w:tcPr>
            <w:tcW w:type="dxa" w:w="4968"/>
          </w:tcPr>
          <w:p>
            <w:pPr>
              <w:spacing w:after="0" w:line="252" w:lineRule="auto"/>
            </w:pPr>
            <w:r/>
            <w:r>
              <w:rPr>
                <w:rFonts w:ascii="Calibri" w:hAnsi="Calibri"/>
                <w:b w:val="0"/>
                <w:color w:val="000000"/>
                <w:sz w:val="18"/>
              </w:rPr>
              <w:t>workspace.ops.silver_processed_batches records source file, batch, status, Bronze count, Silver count, timestamps, and errors.</w:t>
            </w:r>
          </w:p>
        </w:tc>
      </w:tr>
      <w:tr>
        <w:tc>
          <w:tcPr>
            <w:tcW w:type="dxa" w:w="4968"/>
          </w:tcPr>
          <w:p>
            <w:pPr>
              <w:spacing w:after="0" w:line="252" w:lineRule="auto"/>
            </w:pPr>
            <w:r/>
            <w:r>
              <w:rPr>
                <w:rFonts w:ascii="Calibri" w:hAnsi="Calibri"/>
                <w:b w:val="0"/>
                <w:color w:val="000000"/>
                <w:sz w:val="18"/>
              </w:rPr>
              <w:t>Batch/source guard</w:t>
            </w:r>
          </w:p>
        </w:tc>
        <w:tc>
          <w:tcPr>
            <w:tcW w:type="dxa" w:w="4968"/>
          </w:tcPr>
          <w:p>
            <w:pPr>
              <w:spacing w:after="0" w:line="252" w:lineRule="auto"/>
            </w:pPr>
            <w:r/>
            <w:r>
              <w:rPr>
                <w:rFonts w:ascii="Calibri" w:hAnsi="Calibri"/>
                <w:b w:val="0"/>
                <w:color w:val="000000"/>
                <w:sz w:val="18"/>
              </w:rPr>
              <w:t>The same source batch cannot be transformed into Silver twice as a new load.</w:t>
            </w:r>
          </w:p>
        </w:tc>
      </w:tr>
      <w:tr>
        <w:tc>
          <w:tcPr>
            <w:tcW w:type="dxa" w:w="4968"/>
          </w:tcPr>
          <w:p>
            <w:pPr>
              <w:spacing w:after="0" w:line="252" w:lineRule="auto"/>
            </w:pPr>
            <w:r/>
            <w:r>
              <w:rPr>
                <w:rFonts w:ascii="Calibri" w:hAnsi="Calibri"/>
                <w:b w:val="0"/>
                <w:color w:val="000000"/>
                <w:sz w:val="18"/>
              </w:rPr>
              <w:t>Feature checks</w:t>
            </w:r>
          </w:p>
        </w:tc>
        <w:tc>
          <w:tcPr>
            <w:tcW w:type="dxa" w:w="4968"/>
          </w:tcPr>
          <w:p>
            <w:pPr>
              <w:spacing w:after="0" w:line="252" w:lineRule="auto"/>
            </w:pPr>
            <w:r/>
            <w:r>
              <w:rPr>
                <w:rFonts w:ascii="Calibri" w:hAnsi="Calibri"/>
                <w:b w:val="0"/>
                <w:color w:val="000000"/>
                <w:sz w:val="18"/>
              </w:rPr>
              <w:t>Confirm timestamps, amount fields, review priority, and required columns are present before Snowflake loading.</w:t>
            </w:r>
          </w:p>
        </w:tc>
      </w:tr>
      <w:tr>
        <w:tc>
          <w:tcPr>
            <w:tcW w:type="dxa" w:w="4968"/>
          </w:tcPr>
          <w:p>
            <w:pPr>
              <w:spacing w:after="0" w:line="252" w:lineRule="auto"/>
            </w:pPr>
            <w:r/>
            <w:r>
              <w:rPr>
                <w:rFonts w:ascii="Calibri" w:hAnsi="Calibri"/>
                <w:b w:val="0"/>
                <w:color w:val="000000"/>
                <w:sz w:val="18"/>
              </w:rPr>
              <w:t>Demo-friendly validation</w:t>
            </w:r>
          </w:p>
        </w:tc>
        <w:tc>
          <w:tcPr>
            <w:tcW w:type="dxa" w:w="4968"/>
          </w:tcPr>
          <w:p>
            <w:pPr>
              <w:spacing w:after="0" w:line="252" w:lineRule="auto"/>
            </w:pPr>
            <w:r/>
            <w:r>
              <w:rPr>
                <w:rFonts w:ascii="Calibri" w:hAnsi="Calibri"/>
                <w:b w:val="0"/>
                <w:color w:val="000000"/>
                <w:sz w:val="18"/>
              </w:rPr>
              <w:t>Separate notebook shows before/after counts and selected-batch evidence without cluttering transformation notebooks.</w:t>
            </w:r>
          </w:p>
        </w:tc>
      </w:tr>
    </w:tbl>
    <w:p>
      <w:pPr>
        <w:spacing w:after="20"/>
      </w:pPr>
    </w:p>
    <w:p>
      <w:pPr>
        <w:pStyle w:val="Heading1"/>
      </w:pPr>
      <w:r>
        <w:t>10. Snowflake RAW and Gold Analytics</w:t>
      </w:r>
    </w:p>
    <w:p>
      <w:pPr>
        <w:pStyle w:val="Heading2"/>
      </w:pPr>
      <w:r>
        <w:t>10.1 Snowflake RAW</w:t>
      </w:r>
    </w:p>
    <w:p>
      <w:r>
        <w:t>FRAUD_DB.RAW.TRANSACTIONS receives only the requested Silver batch. Before writing, the connector checks whether the same batch_id and source_file already exist. If so, it skips the write; if not, it appends. It then reconciles the Snowflake RAW batch count against the Silver batch count.</w:t>
      </w:r>
    </w:p>
    <w:p>
      <w:pPr>
        <w:pStyle w:val="Heading2"/>
      </w:pPr>
      <w:r>
        <w:t>10.2 Gold outputs</w:t>
      </w:r>
    </w:p>
    <w:tbl>
      <w:tblPr>
        <w:tblStyle w:val="TableGrid"/>
        <w:tblW w:type="dxa" w:w="9120"/>
        <w:tblLayout w:type="fixed"/>
        <w:tblLook w:firstColumn="1" w:firstRow="1" w:lastColumn="0" w:lastRow="0" w:noHBand="0" w:noVBand="1" w:val="04A0"/>
        <w:jc w:val="left"/>
        <w:tblBorders>
          <w:top w:val="single" w:sz="6" w:space="0" w:color="C7D1DE"/>
          <w:left w:val="single" w:sz="6" w:space="0" w:color="C7D1DE"/>
          <w:bottom w:val="single" w:sz="6" w:space="0" w:color="C7D1DE"/>
          <w:right w:val="single" w:sz="6" w:space="0" w:color="C7D1DE"/>
          <w:insideH w:val="single" w:sz="6" w:space="0" w:color="C7D1DE"/>
          <w:insideV w:val="single" w:sz="6" w:space="0" w:color="C7D1DE"/>
        </w:tblBorders>
        <w:tblInd w:w="120" w:type="dxa"/>
      </w:tblPr>
      <w:tblGrid>
        <w:gridCol w:w="3312"/>
        <w:gridCol w:w="3312"/>
        <w:gridCol w:w="3312"/>
      </w:tblGrid>
      <w:tr>
        <w:trPr>
          <w:tblHeader w:val="true"/>
        </w:trPr>
        <w:tc>
          <w:tcPr>
            <w:tcW w:type="dxa" w:w="2500"/>
            <w:tcMar>
              <w:top w:w="80" w:type="dxa"/>
              <w:start w:w="120" w:type="dxa"/>
              <w:bottom w:w="80" w:type="dxa"/>
              <w:end w:w="120" w:type="dxa"/>
            </w:tcMar>
            <w:vAlign w:val="center"/>
            <w:shd w:fill="E8EEF5"/>
          </w:tcPr>
          <w:p>
            <w:pPr>
              <w:spacing w:after="0" w:line="252" w:lineRule="auto"/>
            </w:pPr>
            <w:r/>
            <w:r>
              <w:rPr>
                <w:rFonts w:ascii="Calibri" w:hAnsi="Calibri"/>
                <w:b/>
                <w:color w:val="0B2545"/>
                <w:sz w:val="18"/>
              </w:rPr>
              <w:t>Gold object</w:t>
            </w:r>
          </w:p>
        </w:tc>
        <w:tc>
          <w:tcPr>
            <w:tcW w:type="dxa" w:w="1000"/>
            <w:tcMar>
              <w:top w:w="80" w:type="dxa"/>
              <w:start w:w="120" w:type="dxa"/>
              <w:bottom w:w="80" w:type="dxa"/>
              <w:end w:w="120" w:type="dxa"/>
            </w:tcMar>
            <w:vAlign w:val="center"/>
            <w:shd w:fill="E8EEF5"/>
          </w:tcPr>
          <w:p>
            <w:pPr>
              <w:spacing w:after="0" w:line="252" w:lineRule="auto"/>
            </w:pPr>
            <w:r/>
            <w:r>
              <w:rPr>
                <w:rFonts w:ascii="Calibri" w:hAnsi="Calibri"/>
                <w:b/>
                <w:color w:val="0B2545"/>
                <w:sz w:val="18"/>
              </w:rPr>
              <w:t>Type</w:t>
            </w:r>
          </w:p>
        </w:tc>
        <w:tc>
          <w:tcPr>
            <w:tcW w:type="dxa" w:w="5620"/>
            <w:tcMar>
              <w:top w:w="80" w:type="dxa"/>
              <w:start w:w="120" w:type="dxa"/>
              <w:bottom w:w="80" w:type="dxa"/>
              <w:end w:w="120" w:type="dxa"/>
            </w:tcMar>
            <w:vAlign w:val="center"/>
            <w:shd w:fill="E8EEF5"/>
          </w:tcPr>
          <w:p>
            <w:pPr>
              <w:spacing w:after="0" w:line="252" w:lineRule="auto"/>
            </w:pPr>
            <w:r/>
            <w:r>
              <w:rPr>
                <w:rFonts w:ascii="Calibri" w:hAnsi="Calibri"/>
                <w:b/>
                <w:color w:val="0B2545"/>
                <w:sz w:val="18"/>
              </w:rPr>
              <w:t>Contents and value</w:t>
            </w:r>
          </w:p>
        </w:tc>
      </w:tr>
      <w:tr>
        <w:tc>
          <w:tcPr>
            <w:tcW w:type="dxa" w:w="3312"/>
          </w:tcPr>
          <w:p>
            <w:pPr>
              <w:spacing w:after="0" w:line="252" w:lineRule="auto"/>
            </w:pPr>
            <w:r/>
            <w:r>
              <w:rPr>
                <w:rFonts w:ascii="Calibri" w:hAnsi="Calibri"/>
                <w:b w:val="0"/>
                <w:color w:val="000000"/>
                <w:sz w:val="18"/>
              </w:rPr>
              <w:t>FRAUD_DAILY_SUMMARY</w:t>
            </w:r>
          </w:p>
        </w:tc>
        <w:tc>
          <w:tcPr>
            <w:tcW w:type="dxa" w:w="3312"/>
          </w:tcPr>
          <w:p>
            <w:pPr>
              <w:spacing w:after="0" w:line="252" w:lineRule="auto"/>
            </w:pPr>
            <w:r/>
            <w:r>
              <w:rPr>
                <w:rFonts w:ascii="Calibri" w:hAnsi="Calibri"/>
                <w:b w:val="0"/>
                <w:color w:val="000000"/>
                <w:sz w:val="18"/>
              </w:rPr>
              <w:t>Table</w:t>
            </w:r>
          </w:p>
        </w:tc>
        <w:tc>
          <w:tcPr>
            <w:tcW w:type="dxa" w:w="3312"/>
          </w:tcPr>
          <w:p>
            <w:pPr>
              <w:spacing w:after="0" w:line="252" w:lineRule="auto"/>
            </w:pPr>
            <w:r/>
            <w:r>
              <w:rPr>
                <w:rFonts w:ascii="Calibri" w:hAnsi="Calibri"/>
                <w:b w:val="0"/>
                <w:color w:val="000000"/>
                <w:sz w:val="18"/>
              </w:rPr>
              <w:t>Daily transaction count, amount, averages, min/max amounts, historical label counts, priority counts, and rapid-repeat count. Used for daily overview cards/charts.</w:t>
            </w:r>
          </w:p>
        </w:tc>
      </w:tr>
      <w:tr>
        <w:tc>
          <w:tcPr>
            <w:tcW w:type="dxa" w:w="3312"/>
          </w:tcPr>
          <w:p>
            <w:pPr>
              <w:spacing w:after="0" w:line="252" w:lineRule="auto"/>
            </w:pPr>
            <w:r/>
            <w:r>
              <w:rPr>
                <w:rFonts w:ascii="Calibri" w:hAnsi="Calibri"/>
                <w:b w:val="0"/>
                <w:color w:val="000000"/>
                <w:sz w:val="18"/>
              </w:rPr>
              <w:t>AMOUNT_BUCKET_SUMMARY</w:t>
            </w:r>
          </w:p>
        </w:tc>
        <w:tc>
          <w:tcPr>
            <w:tcW w:type="dxa" w:w="3312"/>
          </w:tcPr>
          <w:p>
            <w:pPr>
              <w:spacing w:after="0" w:line="252" w:lineRule="auto"/>
            </w:pPr>
            <w:r/>
            <w:r>
              <w:rPr>
                <w:rFonts w:ascii="Calibri" w:hAnsi="Calibri"/>
                <w:b w:val="0"/>
                <w:color w:val="000000"/>
                <w:sz w:val="18"/>
              </w:rPr>
              <w:t>Table</w:t>
            </w:r>
          </w:p>
        </w:tc>
        <w:tc>
          <w:tcPr>
            <w:tcW w:type="dxa" w:w="3312"/>
          </w:tcPr>
          <w:p>
            <w:pPr>
              <w:spacing w:after="0" w:line="252" w:lineRule="auto"/>
            </w:pPr>
            <w:r/>
            <w:r>
              <w:rPr>
                <w:rFonts w:ascii="Calibri" w:hAnsi="Calibri"/>
                <w:b w:val="0"/>
                <w:color w:val="000000"/>
                <w:sz w:val="18"/>
              </w:rPr>
              <w:t>Transaction count/amount and review-priority distribution by amount range. Used for amount analysis.</w:t>
            </w:r>
          </w:p>
        </w:tc>
      </w:tr>
      <w:tr>
        <w:tc>
          <w:tcPr>
            <w:tcW w:type="dxa" w:w="3312"/>
          </w:tcPr>
          <w:p>
            <w:pPr>
              <w:spacing w:after="0" w:line="252" w:lineRule="auto"/>
            </w:pPr>
            <w:r/>
            <w:r>
              <w:rPr>
                <w:rFonts w:ascii="Calibri" w:hAnsi="Calibri"/>
                <w:b w:val="0"/>
                <w:color w:val="000000"/>
                <w:sz w:val="18"/>
              </w:rPr>
              <w:t>RISK_TIME_DASHBOARD</w:t>
            </w:r>
          </w:p>
        </w:tc>
        <w:tc>
          <w:tcPr>
            <w:tcW w:type="dxa" w:w="3312"/>
          </w:tcPr>
          <w:p>
            <w:pPr>
              <w:spacing w:after="0" w:line="252" w:lineRule="auto"/>
            </w:pPr>
            <w:r/>
            <w:r>
              <w:rPr>
                <w:rFonts w:ascii="Calibri" w:hAnsi="Calibri"/>
                <w:b w:val="0"/>
                <w:color w:val="000000"/>
                <w:sz w:val="18"/>
              </w:rPr>
              <w:t>Table</w:t>
            </w:r>
          </w:p>
        </w:tc>
        <w:tc>
          <w:tcPr>
            <w:tcW w:type="dxa" w:w="3312"/>
          </w:tcPr>
          <w:p>
            <w:pPr>
              <w:spacing w:after="0" w:line="252" w:lineRule="auto"/>
            </w:pPr>
            <w:r/>
            <w:r>
              <w:rPr>
                <w:rFonts w:ascii="Calibri" w:hAnsi="Calibri"/>
                <w:b w:val="0"/>
                <w:color w:val="000000"/>
                <w:sz w:val="18"/>
              </w:rPr>
              <w:t>Priority distribution by time segment, time window, amount range, and key derived measures. Used for risk-and-time visuals and top-100 validation.</w:t>
            </w:r>
          </w:p>
        </w:tc>
      </w:tr>
      <w:tr>
        <w:tc>
          <w:tcPr>
            <w:tcW w:type="dxa" w:w="3312"/>
          </w:tcPr>
          <w:p>
            <w:pPr>
              <w:spacing w:after="0" w:line="252" w:lineRule="auto"/>
            </w:pPr>
            <w:r/>
            <w:r>
              <w:rPr>
                <w:rFonts w:ascii="Calibri" w:hAnsi="Calibri"/>
                <w:b w:val="0"/>
                <w:color w:val="000000"/>
                <w:sz w:val="18"/>
              </w:rPr>
              <w:t>ANALYST_REVIEW_QUEUE</w:t>
            </w:r>
          </w:p>
        </w:tc>
        <w:tc>
          <w:tcPr>
            <w:tcW w:type="dxa" w:w="3312"/>
          </w:tcPr>
          <w:p>
            <w:pPr>
              <w:spacing w:after="0" w:line="252" w:lineRule="auto"/>
            </w:pPr>
            <w:r/>
            <w:r>
              <w:rPr>
                <w:rFonts w:ascii="Calibri" w:hAnsi="Calibri"/>
                <w:b w:val="0"/>
                <w:color w:val="000000"/>
                <w:sz w:val="18"/>
              </w:rPr>
              <w:t>View</w:t>
            </w:r>
          </w:p>
        </w:tc>
        <w:tc>
          <w:tcPr>
            <w:tcW w:type="dxa" w:w="3312"/>
          </w:tcPr>
          <w:p>
            <w:pPr>
              <w:spacing w:after="0" w:line="252" w:lineRule="auto"/>
            </w:pPr>
            <w:r/>
            <w:r>
              <w:rPr>
                <w:rFonts w:ascii="Calibri" w:hAnsi="Calibri"/>
                <w:b w:val="0"/>
                <w:color w:val="000000"/>
                <w:sz w:val="18"/>
              </w:rPr>
              <w:t>Current transaction-level list with transaction time, amount, time labels, flags, score, and review priority. Used for searchable/filterable analyst work.</w:t>
            </w:r>
          </w:p>
        </w:tc>
      </w:tr>
    </w:tbl>
    <w:p>
      <w:pPr>
        <w:spacing w:after="20"/>
      </w:pPr>
    </w:p>
    <w:p>
      <w:pPr>
        <w:pStyle w:val="Heading2"/>
      </w:pPr>
      <w:r>
        <w:t>10.3 Why the analyst queue is a view</w:t>
      </w:r>
    </w:p>
    <w:p>
      <w:r>
        <w:t>The first three Gold objects are materialised aggregate tables because dashboards repeatedly need grouped metrics. The analyst queue remains a view because it should always reflect the latest RAW records and sorting/filtering logic without storing a duplicate copy of every transaction. The Streamlit app can query the current review queue directly.</w:t>
      </w:r>
    </w:p>
    <w:p>
      <w:pPr>
        <w:pStyle w:val="Heading1"/>
      </w:pPr>
      <w:r>
        <w:t>11. Streamlit Dashboard</w:t>
      </w:r>
    </w:p>
    <w:p>
      <w:r>
        <w:t>The native Snowflake Streamlit app provides the business-consumption layer. It reads only Snowflake Gold outputs, keeps the dashboard separated from transformation logic, and makes review-priority data accessible without direct SQL knowledge.</w:t>
      </w:r>
    </w:p>
    <w:tbl>
      <w:tblPr>
        <w:tblStyle w:val="TableGrid"/>
        <w:tblW w:type="dxa" w:w="9120"/>
        <w:tblLayout w:type="fixed"/>
        <w:tblLook w:firstColumn="1" w:firstRow="1" w:lastColumn="0" w:lastRow="0" w:noHBand="0" w:noVBand="1" w:val="04A0"/>
        <w:jc w:val="left"/>
        <w:tblBorders>
          <w:top w:val="single" w:sz="6" w:space="0" w:color="C7D1DE"/>
          <w:left w:val="single" w:sz="6" w:space="0" w:color="C7D1DE"/>
          <w:bottom w:val="single" w:sz="6" w:space="0" w:color="C7D1DE"/>
          <w:right w:val="single" w:sz="6" w:space="0" w:color="C7D1DE"/>
          <w:insideH w:val="single" w:sz="6" w:space="0" w:color="C7D1DE"/>
          <w:insideV w:val="single" w:sz="6" w:space="0" w:color="C7D1DE"/>
        </w:tblBorders>
        <w:tblInd w:w="120" w:type="dxa"/>
      </w:tblPr>
      <w:tblGrid>
        <w:gridCol w:w="3312"/>
        <w:gridCol w:w="3312"/>
        <w:gridCol w:w="3312"/>
      </w:tblGrid>
      <w:tr>
        <w:trPr>
          <w:tblHeader w:val="true"/>
        </w:trPr>
        <w:tc>
          <w:tcPr>
            <w:tcW w:type="dxa" w:w="2100"/>
            <w:tcMar>
              <w:top w:w="80" w:type="dxa"/>
              <w:start w:w="120" w:type="dxa"/>
              <w:bottom w:w="80" w:type="dxa"/>
              <w:end w:w="120" w:type="dxa"/>
            </w:tcMar>
            <w:vAlign w:val="center"/>
            <w:shd w:fill="E8EEF5"/>
          </w:tcPr>
          <w:p>
            <w:pPr>
              <w:spacing w:after="0" w:line="252" w:lineRule="auto"/>
            </w:pPr>
            <w:r/>
            <w:r>
              <w:rPr>
                <w:rFonts w:ascii="Calibri" w:hAnsi="Calibri"/>
                <w:b/>
                <w:color w:val="0B2545"/>
                <w:sz w:val="18"/>
              </w:rPr>
              <w:t>Dashboard area</w:t>
            </w:r>
          </w:p>
        </w:tc>
        <w:tc>
          <w:tcPr>
            <w:tcW w:type="dxa" w:w="4200"/>
            <w:tcMar>
              <w:top w:w="80" w:type="dxa"/>
              <w:start w:w="120" w:type="dxa"/>
              <w:bottom w:w="80" w:type="dxa"/>
              <w:end w:w="120" w:type="dxa"/>
            </w:tcMar>
            <w:vAlign w:val="center"/>
            <w:shd w:fill="E8EEF5"/>
          </w:tcPr>
          <w:p>
            <w:pPr>
              <w:spacing w:after="0" w:line="252" w:lineRule="auto"/>
            </w:pPr>
            <w:r/>
            <w:r>
              <w:rPr>
                <w:rFonts w:ascii="Calibri" w:hAnsi="Calibri"/>
                <w:b/>
                <w:color w:val="0B2545"/>
                <w:sz w:val="18"/>
              </w:rPr>
              <w:t>What it shows</w:t>
            </w:r>
          </w:p>
        </w:tc>
        <w:tc>
          <w:tcPr>
            <w:tcW w:type="dxa" w:w="2820"/>
            <w:tcMar>
              <w:top w:w="80" w:type="dxa"/>
              <w:start w:w="120" w:type="dxa"/>
              <w:bottom w:w="80" w:type="dxa"/>
              <w:end w:w="120" w:type="dxa"/>
            </w:tcMar>
            <w:vAlign w:val="center"/>
            <w:shd w:fill="E8EEF5"/>
          </w:tcPr>
          <w:p>
            <w:pPr>
              <w:spacing w:after="0" w:line="252" w:lineRule="auto"/>
            </w:pPr>
            <w:r/>
            <w:r>
              <w:rPr>
                <w:rFonts w:ascii="Calibri" w:hAnsi="Calibri"/>
                <w:b/>
                <w:color w:val="0B2545"/>
                <w:sz w:val="18"/>
              </w:rPr>
              <w:t>Interaction</w:t>
            </w:r>
          </w:p>
        </w:tc>
      </w:tr>
      <w:tr>
        <w:tc>
          <w:tcPr>
            <w:tcW w:type="dxa" w:w="3312"/>
          </w:tcPr>
          <w:p>
            <w:pPr>
              <w:spacing w:after="0" w:line="252" w:lineRule="auto"/>
            </w:pPr>
            <w:r/>
            <w:r>
              <w:rPr>
                <w:rFonts w:ascii="Calibri" w:hAnsi="Calibri"/>
                <w:b w:val="0"/>
                <w:color w:val="000000"/>
                <w:sz w:val="18"/>
              </w:rPr>
              <w:t>Summary</w:t>
            </w:r>
          </w:p>
        </w:tc>
        <w:tc>
          <w:tcPr>
            <w:tcW w:type="dxa" w:w="3312"/>
          </w:tcPr>
          <w:p>
            <w:pPr>
              <w:spacing w:after="0" w:line="252" w:lineRule="auto"/>
            </w:pPr>
            <w:r/>
            <w:r>
              <w:rPr>
                <w:rFonts w:ascii="Calibri" w:hAnsi="Calibri"/>
                <w:b w:val="0"/>
                <w:color w:val="000000"/>
                <w:sz w:val="18"/>
              </w:rPr>
              <w:t>Total transactions, total transaction amount, High review priority count, and Medium review priority count.</w:t>
            </w:r>
          </w:p>
        </w:tc>
        <w:tc>
          <w:tcPr>
            <w:tcW w:type="dxa" w:w="3312"/>
          </w:tcPr>
          <w:p>
            <w:pPr>
              <w:spacing w:after="0" w:line="252" w:lineRule="auto"/>
            </w:pPr>
            <w:r/>
            <w:r>
              <w:rPr>
                <w:rFonts w:ascii="Calibri" w:hAnsi="Calibri"/>
                <w:b w:val="0"/>
                <w:color w:val="000000"/>
                <w:sz w:val="18"/>
              </w:rPr>
              <w:t>KPI cards and priority visuals.</w:t>
            </w:r>
          </w:p>
        </w:tc>
      </w:tr>
      <w:tr>
        <w:tc>
          <w:tcPr>
            <w:tcW w:type="dxa" w:w="3312"/>
          </w:tcPr>
          <w:p>
            <w:pPr>
              <w:spacing w:after="0" w:line="252" w:lineRule="auto"/>
            </w:pPr>
            <w:r/>
            <w:r>
              <w:rPr>
                <w:rFonts w:ascii="Calibri" w:hAnsi="Calibri"/>
                <w:b w:val="0"/>
                <w:color w:val="000000"/>
                <w:sz w:val="18"/>
              </w:rPr>
              <w:t>Daily Transaction Overview</w:t>
            </w:r>
          </w:p>
        </w:tc>
        <w:tc>
          <w:tcPr>
            <w:tcW w:type="dxa" w:w="3312"/>
          </w:tcPr>
          <w:p>
            <w:pPr>
              <w:spacing w:after="0" w:line="252" w:lineRule="auto"/>
            </w:pPr>
            <w:r/>
            <w:r>
              <w:rPr>
                <w:rFonts w:ascii="Calibri" w:hAnsi="Calibri"/>
                <w:b w:val="0"/>
                <w:color w:val="000000"/>
                <w:sz w:val="18"/>
              </w:rPr>
              <w:t>Daily transaction counts and amount movement.</w:t>
            </w:r>
          </w:p>
        </w:tc>
        <w:tc>
          <w:tcPr>
            <w:tcW w:type="dxa" w:w="3312"/>
          </w:tcPr>
          <w:p>
            <w:pPr>
              <w:spacing w:after="0" w:line="252" w:lineRule="auto"/>
            </w:pPr>
            <w:r/>
            <w:r>
              <w:rPr>
                <w:rFonts w:ascii="Calibri" w:hAnsi="Calibri"/>
                <w:b w:val="0"/>
                <w:color w:val="000000"/>
                <w:sz w:val="18"/>
              </w:rPr>
              <w:t>Trend visual with readable business labels.</w:t>
            </w:r>
          </w:p>
        </w:tc>
      </w:tr>
      <w:tr>
        <w:tc>
          <w:tcPr>
            <w:tcW w:type="dxa" w:w="3312"/>
          </w:tcPr>
          <w:p>
            <w:pPr>
              <w:spacing w:after="0" w:line="252" w:lineRule="auto"/>
            </w:pPr>
            <w:r/>
            <w:r>
              <w:rPr>
                <w:rFonts w:ascii="Calibri" w:hAnsi="Calibri"/>
                <w:b w:val="0"/>
                <w:color w:val="000000"/>
                <w:sz w:val="18"/>
              </w:rPr>
              <w:t>Risk and Time Analysis</w:t>
            </w:r>
          </w:p>
        </w:tc>
        <w:tc>
          <w:tcPr>
            <w:tcW w:type="dxa" w:w="3312"/>
          </w:tcPr>
          <w:p>
            <w:pPr>
              <w:spacing w:after="0" w:line="252" w:lineRule="auto"/>
            </w:pPr>
            <w:r/>
            <w:r>
              <w:rPr>
                <w:rFonts w:ascii="Calibri" w:hAnsi="Calibri"/>
                <w:b w:val="0"/>
                <w:color w:val="000000"/>
                <w:sz w:val="18"/>
              </w:rPr>
              <w:t>Review priority by time segment/window and day.</w:t>
            </w:r>
          </w:p>
        </w:tc>
        <w:tc>
          <w:tcPr>
            <w:tcW w:type="dxa" w:w="3312"/>
          </w:tcPr>
          <w:p>
            <w:pPr>
              <w:spacing w:after="0" w:line="252" w:lineRule="auto"/>
            </w:pPr>
            <w:r/>
            <w:r>
              <w:rPr>
                <w:rFonts w:ascii="Calibri" w:hAnsi="Calibri"/>
                <w:b w:val="0"/>
                <w:color w:val="000000"/>
                <w:sz w:val="18"/>
              </w:rPr>
              <w:t>Priority filters and time-based charting.</w:t>
            </w:r>
          </w:p>
        </w:tc>
      </w:tr>
      <w:tr>
        <w:tc>
          <w:tcPr>
            <w:tcW w:type="dxa" w:w="3312"/>
          </w:tcPr>
          <w:p>
            <w:pPr>
              <w:spacing w:after="0" w:line="252" w:lineRule="auto"/>
            </w:pPr>
            <w:r/>
            <w:r>
              <w:rPr>
                <w:rFonts w:ascii="Calibri" w:hAnsi="Calibri"/>
                <w:b w:val="0"/>
                <w:color w:val="000000"/>
                <w:sz w:val="18"/>
              </w:rPr>
              <w:t>Amount Analysis</w:t>
            </w:r>
          </w:p>
        </w:tc>
        <w:tc>
          <w:tcPr>
            <w:tcW w:type="dxa" w:w="3312"/>
          </w:tcPr>
          <w:p>
            <w:pPr>
              <w:spacing w:after="0" w:line="252" w:lineRule="auto"/>
            </w:pPr>
            <w:r/>
            <w:r>
              <w:rPr>
                <w:rFonts w:ascii="Calibri" w:hAnsi="Calibri"/>
                <w:b w:val="0"/>
                <w:color w:val="000000"/>
                <w:sz w:val="18"/>
              </w:rPr>
              <w:t>Amount-range distribution, totals, and associated priorities.</w:t>
            </w:r>
          </w:p>
        </w:tc>
        <w:tc>
          <w:tcPr>
            <w:tcW w:type="dxa" w:w="3312"/>
          </w:tcPr>
          <w:p>
            <w:pPr>
              <w:spacing w:after="0" w:line="252" w:lineRule="auto"/>
            </w:pPr>
            <w:r/>
            <w:r>
              <w:rPr>
                <w:rFonts w:ascii="Calibri" w:hAnsi="Calibri"/>
                <w:b w:val="0"/>
                <w:color w:val="000000"/>
                <w:sz w:val="18"/>
              </w:rPr>
              <w:t>Amount visual and min/max amount range selection.</w:t>
            </w:r>
          </w:p>
        </w:tc>
      </w:tr>
      <w:tr>
        <w:tc>
          <w:tcPr>
            <w:tcW w:type="dxa" w:w="3312"/>
          </w:tcPr>
          <w:p>
            <w:pPr>
              <w:spacing w:after="0" w:line="252" w:lineRule="auto"/>
            </w:pPr>
            <w:r/>
            <w:r>
              <w:rPr>
                <w:rFonts w:ascii="Calibri" w:hAnsi="Calibri"/>
                <w:b w:val="0"/>
                <w:color w:val="000000"/>
                <w:sz w:val="18"/>
              </w:rPr>
              <w:t>Analyst Review</w:t>
            </w:r>
          </w:p>
        </w:tc>
        <w:tc>
          <w:tcPr>
            <w:tcW w:type="dxa" w:w="3312"/>
          </w:tcPr>
          <w:p>
            <w:pPr>
              <w:spacing w:after="0" w:line="252" w:lineRule="auto"/>
            </w:pPr>
            <w:r/>
            <w:r>
              <w:rPr>
                <w:rFonts w:ascii="Calibri" w:hAnsi="Calibri"/>
                <w:b w:val="0"/>
                <w:color w:val="000000"/>
                <w:sz w:val="18"/>
              </w:rPr>
              <w:t>Transaction-level queue ordered by review priority and supporting signals.</w:t>
            </w:r>
          </w:p>
        </w:tc>
        <w:tc>
          <w:tcPr>
            <w:tcW w:type="dxa" w:w="3312"/>
          </w:tcPr>
          <w:p>
            <w:pPr>
              <w:spacing w:after="0" w:line="252" w:lineRule="auto"/>
            </w:pPr>
            <w:r/>
            <w:r>
              <w:rPr>
                <w:rFonts w:ascii="Calibri" w:hAnsi="Calibri"/>
                <w:b w:val="0"/>
                <w:color w:val="000000"/>
                <w:sz w:val="18"/>
              </w:rPr>
              <w:t>Priority, time segment, time window, amount range, date, ID search, clear filters, and download.</w:t>
            </w:r>
          </w:p>
        </w:tc>
      </w:tr>
    </w:tbl>
    <w:p>
      <w:pPr>
        <w:spacing w:after="20"/>
      </w:pPr>
    </w:p>
    <w:tbl>
      <w:tblPr>
        <w:tblStyle w:val="TableGrid"/>
        <w:tblW w:type="dxa" w:w="9120"/>
        <w:tblLayout w:type="fixed"/>
        <w:tblLook w:firstColumn="1" w:firstRow="1" w:lastColumn="0" w:lastRow="0" w:noHBand="0" w:noVBand="1" w:val="04A0"/>
        <w:jc w:val="left"/>
        <w:tblBorders>
          <w:top w:val="single" w:sz="6" w:space="0" w:color="B9D8D3"/>
          <w:left w:val="single" w:sz="6" w:space="0" w:color="B9D8D3"/>
          <w:bottom w:val="single" w:sz="6" w:space="0" w:color="B9D8D3"/>
          <w:right w:val="single" w:sz="6" w:space="0" w:color="B9D8D3"/>
          <w:insideH w:val="single" w:sz="6" w:space="0" w:color="B9D8D3"/>
          <w:insideV w:val="single" w:sz="6" w:space="0" w:color="B9D8D3"/>
        </w:tblBorders>
        <w:tblInd w:w="120" w:type="dxa"/>
      </w:tblPr>
      <w:tblGrid>
        <w:gridCol w:w="9936"/>
      </w:tblGrid>
      <w:tr>
        <w:tc>
          <w:tcPr>
            <w:tcW w:type="dxa" w:w="9120"/>
            <w:tcMar>
              <w:top w:w="80" w:type="dxa"/>
              <w:start w:w="120" w:type="dxa"/>
              <w:bottom w:w="80" w:type="dxa"/>
              <w:end w:w="120" w:type="dxa"/>
            </w:tcMar>
            <w:vAlign w:val="center"/>
            <w:shd w:fill="E6F4F1"/>
          </w:tcPr>
          <w:p>
            <w:pPr>
              <w:spacing w:after="0" w:line="264" w:lineRule="auto"/>
            </w:pPr>
            <w:r/>
            <w:r>
              <w:rPr>
                <w:b/>
                <w:color w:val="0F766E"/>
              </w:rPr>
              <w:t xml:space="preserve">Dashboard wording: </w:t>
            </w:r>
            <w:r>
              <w:rPr>
                <w:color w:val="0B2545"/>
              </w:rPr>
              <w:t>Review Priority is intentionally used instead of Fraud or Confirmed Fraud. The dashboard is an operational triage tool; an analyst must review a transaction before any fraud conclusion.</w:t>
            </w:r>
          </w:p>
        </w:tc>
      </w:tr>
    </w:tbl>
    <w:p>
      <w:pPr>
        <w:spacing w:after="20"/>
      </w:pPr>
    </w:p>
    <w:p>
      <w:pPr>
        <w:pStyle w:val="Heading1"/>
      </w:pPr>
      <w:r>
        <w:t>12. Dagster Orchestration</w:t>
      </w:r>
    </w:p>
    <w:p>
      <w:r>
        <w:t>Dagster is mandatory in the final design. It is the control plane that launches the jobs, waits for each dependency, captures execution evidence, and routes the source file based on the final outcome.</w:t>
      </w:r>
    </w:p>
    <w:p>
      <w:pPr>
        <w:spacing w:before="100" w:after="160"/>
        <w:ind w:left="288" w:right="288"/>
        <w:shd w:fill="F3F6FA"/>
      </w:pPr>
      <w:r>
        <w:rPr>
          <w:rFonts w:ascii="Consolas" w:hAnsi="Consolas"/>
          <w:color w:val="0B2545"/>
          <w:sz w:val="19"/>
        </w:rPr>
        <w:t>landing_file_sensor -&gt; run_bronze -&gt; run_silver -&gt; load_snowflake_raw -&gt; validate_snowflake_raw -&gt; refresh_gold -&gt; archive_processed_file</w:t>
      </w:r>
    </w:p>
    <w:tbl>
      <w:tblPr>
        <w:tblStyle w:val="TableGrid"/>
        <w:tblW w:type="dxa" w:w="9120"/>
        <w:tblLayout w:type="fixed"/>
        <w:tblLook w:firstColumn="1" w:firstRow="1" w:lastColumn="0" w:lastRow="0" w:noHBand="0" w:noVBand="1" w:val="04A0"/>
        <w:jc w:val="left"/>
        <w:tblBorders>
          <w:top w:val="single" w:sz="6" w:space="0" w:color="C7D1DE"/>
          <w:left w:val="single" w:sz="6" w:space="0" w:color="C7D1DE"/>
          <w:bottom w:val="single" w:sz="6" w:space="0" w:color="C7D1DE"/>
          <w:right w:val="single" w:sz="6" w:space="0" w:color="C7D1DE"/>
          <w:insideH w:val="single" w:sz="6" w:space="0" w:color="C7D1DE"/>
          <w:insideV w:val="single" w:sz="6" w:space="0" w:color="C7D1DE"/>
        </w:tblBorders>
        <w:tblInd w:w="120" w:type="dxa"/>
      </w:tblPr>
      <w:tblGrid>
        <w:gridCol w:w="3312"/>
        <w:gridCol w:w="3312"/>
        <w:gridCol w:w="3312"/>
      </w:tblGrid>
      <w:tr>
        <w:trPr>
          <w:tblHeader w:val="true"/>
        </w:trPr>
        <w:tc>
          <w:tcPr>
            <w:tcW w:type="dxa" w:w="2220"/>
            <w:tcMar>
              <w:top w:w="80" w:type="dxa"/>
              <w:start w:w="120" w:type="dxa"/>
              <w:bottom w:w="80" w:type="dxa"/>
              <w:end w:w="120" w:type="dxa"/>
            </w:tcMar>
            <w:vAlign w:val="center"/>
            <w:shd w:fill="E8EEF5"/>
          </w:tcPr>
          <w:p>
            <w:pPr>
              <w:spacing w:after="0" w:line="252" w:lineRule="auto"/>
            </w:pPr>
            <w:r/>
            <w:r>
              <w:rPr>
                <w:rFonts w:ascii="Calibri" w:hAnsi="Calibri"/>
                <w:b/>
                <w:color w:val="0B2545"/>
                <w:sz w:val="18"/>
              </w:rPr>
              <w:t>Dagster step</w:t>
            </w:r>
          </w:p>
        </w:tc>
        <w:tc>
          <w:tcPr>
            <w:tcW w:type="dxa" w:w="4050"/>
            <w:tcMar>
              <w:top w:w="80" w:type="dxa"/>
              <w:start w:w="120" w:type="dxa"/>
              <w:bottom w:w="80" w:type="dxa"/>
              <w:end w:w="120" w:type="dxa"/>
            </w:tcMar>
            <w:vAlign w:val="center"/>
            <w:shd w:fill="E8EEF5"/>
          </w:tcPr>
          <w:p>
            <w:pPr>
              <w:spacing w:after="0" w:line="252" w:lineRule="auto"/>
            </w:pPr>
            <w:r/>
            <w:r>
              <w:rPr>
                <w:rFonts w:ascii="Calibri" w:hAnsi="Calibri"/>
                <w:b/>
                <w:color w:val="0B2545"/>
                <w:sz w:val="18"/>
              </w:rPr>
              <w:t>Action</w:t>
            </w:r>
          </w:p>
        </w:tc>
        <w:tc>
          <w:tcPr>
            <w:tcW w:type="dxa" w:w="2850"/>
            <w:tcMar>
              <w:top w:w="80" w:type="dxa"/>
              <w:start w:w="120" w:type="dxa"/>
              <w:bottom w:w="80" w:type="dxa"/>
              <w:end w:w="120" w:type="dxa"/>
            </w:tcMar>
            <w:vAlign w:val="center"/>
            <w:shd w:fill="E8EEF5"/>
          </w:tcPr>
          <w:p>
            <w:pPr>
              <w:spacing w:after="0" w:line="252" w:lineRule="auto"/>
            </w:pPr>
            <w:r/>
            <w:r>
              <w:rPr>
                <w:rFonts w:ascii="Calibri" w:hAnsi="Calibri"/>
                <w:b/>
                <w:color w:val="0B2545"/>
                <w:sz w:val="18"/>
              </w:rPr>
              <w:t>Success condition</w:t>
            </w:r>
          </w:p>
        </w:tc>
      </w:tr>
      <w:tr>
        <w:tc>
          <w:tcPr>
            <w:tcW w:type="dxa" w:w="3312"/>
          </w:tcPr>
          <w:p>
            <w:pPr>
              <w:spacing w:after="0" w:line="252" w:lineRule="auto"/>
            </w:pPr>
            <w:r/>
            <w:r>
              <w:rPr>
                <w:rFonts w:ascii="Calibri" w:hAnsi="Calibri"/>
                <w:b w:val="0"/>
                <w:color w:val="000000"/>
                <w:sz w:val="18"/>
              </w:rPr>
              <w:t>landing_file_sensor</w:t>
            </w:r>
          </w:p>
        </w:tc>
        <w:tc>
          <w:tcPr>
            <w:tcW w:type="dxa" w:w="3312"/>
          </w:tcPr>
          <w:p>
            <w:pPr>
              <w:spacing w:after="0" w:line="252" w:lineRule="auto"/>
            </w:pPr>
            <w:r/>
            <w:r>
              <w:rPr>
                <w:rFonts w:ascii="Calibri" w:hAnsi="Calibri"/>
                <w:b w:val="0"/>
                <w:color w:val="000000"/>
                <w:sz w:val="18"/>
              </w:rPr>
              <w:t>Polls S3 landing/ for eligible new CSV files and creates one run request.</w:t>
            </w:r>
          </w:p>
        </w:tc>
        <w:tc>
          <w:tcPr>
            <w:tcW w:type="dxa" w:w="3312"/>
          </w:tcPr>
          <w:p>
            <w:pPr>
              <w:spacing w:after="0" w:line="252" w:lineRule="auto"/>
            </w:pPr>
            <w:r/>
            <w:r>
              <w:rPr>
                <w:rFonts w:ascii="Calibri" w:hAnsi="Calibri"/>
                <w:b w:val="0"/>
                <w:color w:val="000000"/>
                <w:sz w:val="18"/>
              </w:rPr>
              <w:t>New content is found, not already audited, and no conflicting active pipeline run is permitted.</w:t>
            </w:r>
          </w:p>
        </w:tc>
      </w:tr>
      <w:tr>
        <w:tc>
          <w:tcPr>
            <w:tcW w:type="dxa" w:w="3312"/>
          </w:tcPr>
          <w:p>
            <w:pPr>
              <w:spacing w:after="0" w:line="252" w:lineRule="auto"/>
            </w:pPr>
            <w:r/>
            <w:r>
              <w:rPr>
                <w:rFonts w:ascii="Calibri" w:hAnsi="Calibri"/>
                <w:b w:val="0"/>
                <w:color w:val="000000"/>
                <w:sz w:val="18"/>
              </w:rPr>
              <w:t>run_bronze</w:t>
            </w:r>
          </w:p>
        </w:tc>
        <w:tc>
          <w:tcPr>
            <w:tcW w:type="dxa" w:w="3312"/>
          </w:tcPr>
          <w:p>
            <w:pPr>
              <w:spacing w:after="0" w:line="252" w:lineRule="auto"/>
            </w:pPr>
            <w:r/>
            <w:r>
              <w:rPr>
                <w:rFonts w:ascii="Calibri" w:hAnsi="Calibri"/>
                <w:b w:val="0"/>
                <w:color w:val="000000"/>
                <w:sz w:val="18"/>
              </w:rPr>
              <w:t>Launches the Bronze Databricks Job with catalog, source path/name, batch ID, content hash, ETag, and size.</w:t>
            </w:r>
          </w:p>
        </w:tc>
        <w:tc>
          <w:tcPr>
            <w:tcW w:type="dxa" w:w="3312"/>
          </w:tcPr>
          <w:p>
            <w:pPr>
              <w:spacing w:after="0" w:line="252" w:lineRule="auto"/>
            </w:pPr>
            <w:r/>
            <w:r>
              <w:rPr>
                <w:rFonts w:ascii="Calibri" w:hAnsi="Calibri"/>
                <w:b w:val="0"/>
                <w:color w:val="000000"/>
                <w:sz w:val="18"/>
              </w:rPr>
              <w:t>Bronze raw and audit entry are written.</w:t>
            </w:r>
          </w:p>
        </w:tc>
      </w:tr>
      <w:tr>
        <w:tc>
          <w:tcPr>
            <w:tcW w:type="dxa" w:w="3312"/>
          </w:tcPr>
          <w:p>
            <w:pPr>
              <w:spacing w:after="0" w:line="252" w:lineRule="auto"/>
            </w:pPr>
            <w:r/>
            <w:r>
              <w:rPr>
                <w:rFonts w:ascii="Calibri" w:hAnsi="Calibri"/>
                <w:b w:val="0"/>
                <w:color w:val="000000"/>
                <w:sz w:val="18"/>
              </w:rPr>
              <w:t>run_silver</w:t>
            </w:r>
          </w:p>
        </w:tc>
        <w:tc>
          <w:tcPr>
            <w:tcW w:type="dxa" w:w="3312"/>
          </w:tcPr>
          <w:p>
            <w:pPr>
              <w:spacing w:after="0" w:line="252" w:lineRule="auto"/>
            </w:pPr>
            <w:r/>
            <w:r>
              <w:rPr>
                <w:rFonts w:ascii="Calibri" w:hAnsi="Calibri"/>
                <w:b w:val="0"/>
                <w:color w:val="000000"/>
                <w:sz w:val="18"/>
              </w:rPr>
              <w:t>Launches the Silver Databricks Job for the same batch/source.</w:t>
            </w:r>
          </w:p>
        </w:tc>
        <w:tc>
          <w:tcPr>
            <w:tcW w:type="dxa" w:w="3312"/>
          </w:tcPr>
          <w:p>
            <w:pPr>
              <w:spacing w:after="0" w:line="252" w:lineRule="auto"/>
            </w:pPr>
            <w:r/>
            <w:r>
              <w:rPr>
                <w:rFonts w:ascii="Calibri" w:hAnsi="Calibri"/>
                <w:b w:val="0"/>
                <w:color w:val="000000"/>
                <w:sz w:val="18"/>
              </w:rPr>
              <w:t>Silver transaction and Silver audit output are complete.</w:t>
            </w:r>
          </w:p>
        </w:tc>
      </w:tr>
      <w:tr>
        <w:tc>
          <w:tcPr>
            <w:tcW w:type="dxa" w:w="3312"/>
          </w:tcPr>
          <w:p>
            <w:pPr>
              <w:spacing w:after="0" w:line="252" w:lineRule="auto"/>
            </w:pPr>
            <w:r/>
            <w:r>
              <w:rPr>
                <w:rFonts w:ascii="Calibri" w:hAnsi="Calibri"/>
                <w:b w:val="0"/>
                <w:color w:val="000000"/>
                <w:sz w:val="18"/>
              </w:rPr>
              <w:t>load_snowflake_raw</w:t>
            </w:r>
          </w:p>
        </w:tc>
        <w:tc>
          <w:tcPr>
            <w:tcW w:type="dxa" w:w="3312"/>
          </w:tcPr>
          <w:p>
            <w:pPr>
              <w:spacing w:after="0" w:line="252" w:lineRule="auto"/>
            </w:pPr>
            <w:r/>
            <w:r>
              <w:rPr>
                <w:rFonts w:ascii="Calibri" w:hAnsi="Calibri"/>
                <w:b w:val="0"/>
                <w:color w:val="000000"/>
                <w:sz w:val="18"/>
              </w:rPr>
              <w:t>Launches the Silver-to-Snowflake job.</w:t>
            </w:r>
          </w:p>
        </w:tc>
        <w:tc>
          <w:tcPr>
            <w:tcW w:type="dxa" w:w="3312"/>
          </w:tcPr>
          <w:p>
            <w:pPr>
              <w:spacing w:after="0" w:line="252" w:lineRule="auto"/>
            </w:pPr>
            <w:r/>
            <w:r>
              <w:rPr>
                <w:rFonts w:ascii="Calibri" w:hAnsi="Calibri"/>
                <w:b w:val="0"/>
                <w:color w:val="000000"/>
                <w:sz w:val="18"/>
              </w:rPr>
              <w:t>New batch appended or safely skipped; count reconciles.</w:t>
            </w:r>
          </w:p>
        </w:tc>
      </w:tr>
      <w:tr>
        <w:tc>
          <w:tcPr>
            <w:tcW w:type="dxa" w:w="3312"/>
          </w:tcPr>
          <w:p>
            <w:pPr>
              <w:spacing w:after="0" w:line="252" w:lineRule="auto"/>
            </w:pPr>
            <w:r/>
            <w:r>
              <w:rPr>
                <w:rFonts w:ascii="Calibri" w:hAnsi="Calibri"/>
                <w:b w:val="0"/>
                <w:color w:val="000000"/>
                <w:sz w:val="18"/>
              </w:rPr>
              <w:t>validate_snowflake_raw</w:t>
            </w:r>
          </w:p>
        </w:tc>
        <w:tc>
          <w:tcPr>
            <w:tcW w:type="dxa" w:w="3312"/>
          </w:tcPr>
          <w:p>
            <w:pPr>
              <w:spacing w:after="0" w:line="252" w:lineRule="auto"/>
            </w:pPr>
            <w:r/>
            <w:r>
              <w:rPr>
                <w:rFonts w:ascii="Calibri" w:hAnsi="Calibri"/>
                <w:b w:val="0"/>
                <w:color w:val="000000"/>
                <w:sz w:val="18"/>
              </w:rPr>
              <w:t>Queries Snowflake for the selected batch.</w:t>
            </w:r>
          </w:p>
        </w:tc>
        <w:tc>
          <w:tcPr>
            <w:tcW w:type="dxa" w:w="3312"/>
          </w:tcPr>
          <w:p>
            <w:pPr>
              <w:spacing w:after="0" w:line="252" w:lineRule="auto"/>
            </w:pPr>
            <w:r/>
            <w:r>
              <w:rPr>
                <w:rFonts w:ascii="Calibri" w:hAnsi="Calibri"/>
                <w:b w:val="0"/>
                <w:color w:val="000000"/>
                <w:sz w:val="18"/>
              </w:rPr>
              <w:t>Snowflake RAW rows equal expected Silver rows.</w:t>
            </w:r>
          </w:p>
        </w:tc>
      </w:tr>
      <w:tr>
        <w:tc>
          <w:tcPr>
            <w:tcW w:type="dxa" w:w="3312"/>
          </w:tcPr>
          <w:p>
            <w:pPr>
              <w:spacing w:after="0" w:line="252" w:lineRule="auto"/>
            </w:pPr>
            <w:r/>
            <w:r>
              <w:rPr>
                <w:rFonts w:ascii="Calibri" w:hAnsi="Calibri"/>
                <w:b w:val="0"/>
                <w:color w:val="000000"/>
                <w:sz w:val="18"/>
              </w:rPr>
              <w:t>refresh_gold</w:t>
            </w:r>
          </w:p>
        </w:tc>
        <w:tc>
          <w:tcPr>
            <w:tcW w:type="dxa" w:w="3312"/>
          </w:tcPr>
          <w:p>
            <w:pPr>
              <w:spacing w:after="0" w:line="252" w:lineRule="auto"/>
            </w:pPr>
            <w:r/>
            <w:r>
              <w:rPr>
                <w:rFonts w:ascii="Calibri" w:hAnsi="Calibri"/>
                <w:b w:val="0"/>
                <w:color w:val="000000"/>
                <w:sz w:val="18"/>
              </w:rPr>
              <w:t>Calls ANALYTICS.REFRESH_FRAUD_GOLD().</w:t>
            </w:r>
          </w:p>
        </w:tc>
        <w:tc>
          <w:tcPr>
            <w:tcW w:type="dxa" w:w="3312"/>
          </w:tcPr>
          <w:p>
            <w:pPr>
              <w:spacing w:after="0" w:line="252" w:lineRule="auto"/>
            </w:pPr>
            <w:r/>
            <w:r>
              <w:rPr>
                <w:rFonts w:ascii="Calibri" w:hAnsi="Calibri"/>
                <w:b w:val="0"/>
                <w:color w:val="000000"/>
                <w:sz w:val="18"/>
              </w:rPr>
              <w:t>Gold tables and analyst queue are refreshed.</w:t>
            </w:r>
          </w:p>
        </w:tc>
      </w:tr>
      <w:tr>
        <w:tc>
          <w:tcPr>
            <w:tcW w:type="dxa" w:w="3312"/>
          </w:tcPr>
          <w:p>
            <w:pPr>
              <w:spacing w:after="0" w:line="252" w:lineRule="auto"/>
            </w:pPr>
            <w:r/>
            <w:r>
              <w:rPr>
                <w:rFonts w:ascii="Calibri" w:hAnsi="Calibri"/>
                <w:b w:val="0"/>
                <w:color w:val="000000"/>
                <w:sz w:val="18"/>
              </w:rPr>
              <w:t>archive_processed_file</w:t>
            </w:r>
          </w:p>
        </w:tc>
        <w:tc>
          <w:tcPr>
            <w:tcW w:type="dxa" w:w="3312"/>
          </w:tcPr>
          <w:p>
            <w:pPr>
              <w:spacing w:after="0" w:line="252" w:lineRule="auto"/>
            </w:pPr>
            <w:r/>
            <w:r>
              <w:rPr>
                <w:rFonts w:ascii="Calibri" w:hAnsi="Calibri"/>
                <w:b w:val="0"/>
                <w:color w:val="000000"/>
                <w:sz w:val="18"/>
              </w:rPr>
              <w:t>Copies source to archive/ and removes it from landing/.</w:t>
            </w:r>
          </w:p>
        </w:tc>
        <w:tc>
          <w:tcPr>
            <w:tcW w:type="dxa" w:w="3312"/>
          </w:tcPr>
          <w:p>
            <w:pPr>
              <w:spacing w:after="0" w:line="252" w:lineRule="auto"/>
            </w:pPr>
            <w:r/>
            <w:r>
              <w:rPr>
                <w:rFonts w:ascii="Calibri" w:hAnsi="Calibri"/>
                <w:b w:val="0"/>
                <w:color w:val="000000"/>
                <w:sz w:val="18"/>
              </w:rPr>
              <w:t>Success lifecycle is visible in S3 and Dagster logs.</w:t>
            </w:r>
          </w:p>
        </w:tc>
      </w:tr>
    </w:tbl>
    <w:p>
      <w:pPr>
        <w:spacing w:after="20"/>
      </w:pPr>
    </w:p>
    <w:p>
      <w:pPr>
        <w:pStyle w:val="Heading2"/>
      </w:pPr>
      <w:r>
        <w:t>12.1 Parameter flow</w:t>
      </w:r>
    </w:p>
    <w:p>
      <w:r>
        <w:t>The sensor creates batch_id from the S3 event context and passes catalog_name, source_file_name, source_path, batch_id, source_etag, content_sha256, and file_size_bytes. These values make every run deterministic and traceable. The earlier manual batch_001 value was a setup/test value; automated runs use dynamically generated S3-based batch IDs.</w:t>
      </w:r>
    </w:p>
    <w:p>
      <w:pPr>
        <w:pStyle w:val="Heading1"/>
      </w:pPr>
      <w:r>
        <w:t>13. Duplicate Prevention, Idempotency, and Failure Routing</w:t>
      </w:r>
    </w:p>
    <w:tbl>
      <w:tblPr>
        <w:tblStyle w:val="TableGrid"/>
        <w:tblW w:type="dxa" w:w="9120"/>
        <w:tblLayout w:type="fixed"/>
        <w:tblLook w:firstColumn="1" w:firstRow="1" w:lastColumn="0" w:lastRow="0" w:noHBand="0" w:noVBand="1" w:val="04A0"/>
        <w:jc w:val="left"/>
        <w:tblBorders>
          <w:top w:val="single" w:sz="6" w:space="0" w:color="C7D1DE"/>
          <w:left w:val="single" w:sz="6" w:space="0" w:color="C7D1DE"/>
          <w:bottom w:val="single" w:sz="6" w:space="0" w:color="C7D1DE"/>
          <w:right w:val="single" w:sz="6" w:space="0" w:color="C7D1DE"/>
          <w:insideH w:val="single" w:sz="6" w:space="0" w:color="C7D1DE"/>
          <w:insideV w:val="single" w:sz="6" w:space="0" w:color="C7D1DE"/>
        </w:tblBorders>
        <w:tblInd w:w="120" w:type="dxa"/>
      </w:tblPr>
      <w:tblGrid>
        <w:gridCol w:w="3312"/>
        <w:gridCol w:w="3312"/>
        <w:gridCol w:w="3312"/>
      </w:tblGrid>
      <w:tr>
        <w:trPr>
          <w:tblHeader w:val="true"/>
        </w:trPr>
        <w:tc>
          <w:tcPr>
            <w:tcW w:type="dxa" w:w="2360"/>
            <w:tcMar>
              <w:top w:w="80" w:type="dxa"/>
              <w:start w:w="120" w:type="dxa"/>
              <w:bottom w:w="80" w:type="dxa"/>
              <w:end w:w="120" w:type="dxa"/>
            </w:tcMar>
            <w:vAlign w:val="center"/>
            <w:shd w:fill="E8EEF5"/>
          </w:tcPr>
          <w:p>
            <w:pPr>
              <w:spacing w:after="0" w:line="252" w:lineRule="auto"/>
            </w:pPr>
            <w:r/>
            <w:r>
              <w:rPr>
                <w:rFonts w:ascii="Calibri" w:hAnsi="Calibri"/>
                <w:b/>
                <w:color w:val="0B2545"/>
                <w:sz w:val="18"/>
              </w:rPr>
              <w:t>Scenario</w:t>
            </w:r>
          </w:p>
        </w:tc>
        <w:tc>
          <w:tcPr>
            <w:tcW w:type="dxa" w:w="3600"/>
            <w:tcMar>
              <w:top w:w="80" w:type="dxa"/>
              <w:start w:w="120" w:type="dxa"/>
              <w:bottom w:w="80" w:type="dxa"/>
              <w:end w:w="120" w:type="dxa"/>
            </w:tcMar>
            <w:vAlign w:val="center"/>
            <w:shd w:fill="E8EEF5"/>
          </w:tcPr>
          <w:p>
            <w:pPr>
              <w:spacing w:after="0" w:line="252" w:lineRule="auto"/>
            </w:pPr>
            <w:r/>
            <w:r>
              <w:rPr>
                <w:rFonts w:ascii="Calibri" w:hAnsi="Calibri"/>
                <w:b/>
                <w:color w:val="0B2545"/>
                <w:sz w:val="18"/>
              </w:rPr>
              <w:t>Detection method</w:t>
            </w:r>
          </w:p>
        </w:tc>
        <w:tc>
          <w:tcPr>
            <w:tcW w:type="dxa" w:w="3160"/>
            <w:tcMar>
              <w:top w:w="80" w:type="dxa"/>
              <w:start w:w="120" w:type="dxa"/>
              <w:bottom w:w="80" w:type="dxa"/>
              <w:end w:w="120" w:type="dxa"/>
            </w:tcMar>
            <w:vAlign w:val="center"/>
            <w:shd w:fill="E8EEF5"/>
          </w:tcPr>
          <w:p>
            <w:pPr>
              <w:spacing w:after="0" w:line="252" w:lineRule="auto"/>
            </w:pPr>
            <w:r/>
            <w:r>
              <w:rPr>
                <w:rFonts w:ascii="Calibri" w:hAnsi="Calibri"/>
                <w:b/>
                <w:color w:val="0B2545"/>
                <w:sz w:val="18"/>
              </w:rPr>
              <w:t>Result</w:t>
            </w:r>
          </w:p>
        </w:tc>
      </w:tr>
      <w:tr>
        <w:tc>
          <w:tcPr>
            <w:tcW w:type="dxa" w:w="3312"/>
          </w:tcPr>
          <w:p>
            <w:pPr>
              <w:spacing w:after="0" w:line="252" w:lineRule="auto"/>
            </w:pPr>
            <w:r/>
            <w:r>
              <w:rPr>
                <w:rFonts w:ascii="Calibri" w:hAnsi="Calibri"/>
                <w:b w:val="0"/>
                <w:color w:val="000000"/>
                <w:sz w:val="18"/>
              </w:rPr>
              <w:t>Same name and same source is uploaded again</w:t>
            </w:r>
          </w:p>
        </w:tc>
        <w:tc>
          <w:tcPr>
            <w:tcW w:type="dxa" w:w="3312"/>
          </w:tcPr>
          <w:p>
            <w:pPr>
              <w:spacing w:after="0" w:line="252" w:lineRule="auto"/>
            </w:pPr>
            <w:r/>
            <w:r>
              <w:rPr>
                <w:rFonts w:ascii="Calibri" w:hAnsi="Calibri"/>
                <w:b w:val="0"/>
                <w:color w:val="000000"/>
                <w:sz w:val="18"/>
              </w:rPr>
              <w:t>Audit table finds prior successful source S3 URI/name or batch.</w:t>
            </w:r>
          </w:p>
        </w:tc>
        <w:tc>
          <w:tcPr>
            <w:tcW w:type="dxa" w:w="3312"/>
          </w:tcPr>
          <w:p>
            <w:pPr>
              <w:spacing w:after="0" w:line="252" w:lineRule="auto"/>
            </w:pPr>
            <w:r/>
            <w:r>
              <w:rPr>
                <w:rFonts w:ascii="Calibri" w:hAnsi="Calibri"/>
                <w:b w:val="0"/>
                <w:color w:val="000000"/>
                <w:sz w:val="18"/>
              </w:rPr>
              <w:t>No reprocessing; duplicate route is used.</w:t>
            </w:r>
          </w:p>
        </w:tc>
      </w:tr>
      <w:tr>
        <w:tc>
          <w:tcPr>
            <w:tcW w:type="dxa" w:w="3312"/>
          </w:tcPr>
          <w:p>
            <w:pPr>
              <w:spacing w:after="0" w:line="252" w:lineRule="auto"/>
            </w:pPr>
            <w:r/>
            <w:r>
              <w:rPr>
                <w:rFonts w:ascii="Calibri" w:hAnsi="Calibri"/>
                <w:b w:val="0"/>
                <w:color w:val="000000"/>
                <w:sz w:val="18"/>
              </w:rPr>
              <w:t>Different name but identical data content</w:t>
            </w:r>
          </w:p>
        </w:tc>
        <w:tc>
          <w:tcPr>
            <w:tcW w:type="dxa" w:w="3312"/>
          </w:tcPr>
          <w:p>
            <w:pPr>
              <w:spacing w:after="0" w:line="252" w:lineRule="auto"/>
            </w:pPr>
            <w:r/>
            <w:r>
              <w:rPr>
                <w:rFonts w:ascii="Calibri" w:hAnsi="Calibri"/>
                <w:b w:val="0"/>
                <w:color w:val="000000"/>
                <w:sz w:val="18"/>
              </w:rPr>
              <w:t>Dagster computes SHA-256 and checks it against processed-file audit records.</w:t>
            </w:r>
          </w:p>
        </w:tc>
        <w:tc>
          <w:tcPr>
            <w:tcW w:type="dxa" w:w="3312"/>
          </w:tcPr>
          <w:p>
            <w:pPr>
              <w:spacing w:after="0" w:line="252" w:lineRule="auto"/>
            </w:pPr>
            <w:r/>
            <w:r>
              <w:rPr>
                <w:rFonts w:ascii="Calibri" w:hAnsi="Calibri"/>
                <w:b w:val="0"/>
                <w:color w:val="000000"/>
                <w:sz w:val="18"/>
              </w:rPr>
              <w:t>New filename is sent to reject/duplicates/; no duplicate analytical rows.</w:t>
            </w:r>
          </w:p>
        </w:tc>
      </w:tr>
      <w:tr>
        <w:tc>
          <w:tcPr>
            <w:tcW w:type="dxa" w:w="3312"/>
          </w:tcPr>
          <w:p>
            <w:pPr>
              <w:spacing w:after="0" w:line="252" w:lineRule="auto"/>
            </w:pPr>
            <w:r/>
            <w:r>
              <w:rPr>
                <w:rFonts w:ascii="Calibri" w:hAnsi="Calibri"/>
                <w:b w:val="0"/>
                <w:color w:val="000000"/>
                <w:sz w:val="18"/>
              </w:rPr>
              <w:t>New file with new content</w:t>
            </w:r>
          </w:p>
        </w:tc>
        <w:tc>
          <w:tcPr>
            <w:tcW w:type="dxa" w:w="3312"/>
          </w:tcPr>
          <w:p>
            <w:pPr>
              <w:spacing w:after="0" w:line="252" w:lineRule="auto"/>
            </w:pPr>
            <w:r/>
            <w:r>
              <w:rPr>
                <w:rFonts w:ascii="Calibri" w:hAnsi="Calibri"/>
                <w:b w:val="0"/>
                <w:color w:val="000000"/>
                <w:sz w:val="18"/>
              </w:rPr>
              <w:t>New hash + no successful duplicate record.</w:t>
            </w:r>
          </w:p>
        </w:tc>
        <w:tc>
          <w:tcPr>
            <w:tcW w:type="dxa" w:w="3312"/>
          </w:tcPr>
          <w:p>
            <w:pPr>
              <w:spacing w:after="0" w:line="252" w:lineRule="auto"/>
            </w:pPr>
            <w:r/>
            <w:r>
              <w:rPr>
                <w:rFonts w:ascii="Calibri" w:hAnsi="Calibri"/>
                <w:b w:val="0"/>
                <w:color w:val="000000"/>
                <w:sz w:val="18"/>
              </w:rPr>
              <w:t>Normal Bronze -&gt; Silver -&gt; Snowflake -&gt; Gold flow.</w:t>
            </w:r>
          </w:p>
        </w:tc>
      </w:tr>
      <w:tr>
        <w:tc>
          <w:tcPr>
            <w:tcW w:type="dxa" w:w="3312"/>
          </w:tcPr>
          <w:p>
            <w:pPr>
              <w:spacing w:after="0" w:line="252" w:lineRule="auto"/>
            </w:pPr>
            <w:r/>
            <w:r>
              <w:rPr>
                <w:rFonts w:ascii="Calibri" w:hAnsi="Calibri"/>
                <w:b w:val="0"/>
                <w:color w:val="000000"/>
                <w:sz w:val="18"/>
              </w:rPr>
              <w:t>Input / quality / processing failure</w:t>
            </w:r>
          </w:p>
        </w:tc>
        <w:tc>
          <w:tcPr>
            <w:tcW w:type="dxa" w:w="3312"/>
          </w:tcPr>
          <w:p>
            <w:pPr>
              <w:spacing w:after="0" w:line="252" w:lineRule="auto"/>
            </w:pPr>
            <w:r/>
            <w:r>
              <w:rPr>
                <w:rFonts w:ascii="Calibri" w:hAnsi="Calibri"/>
                <w:b w:val="0"/>
                <w:color w:val="000000"/>
                <w:sz w:val="18"/>
              </w:rPr>
              <w:t>Databricks/Dagster exception or validation failure.</w:t>
            </w:r>
          </w:p>
        </w:tc>
        <w:tc>
          <w:tcPr>
            <w:tcW w:type="dxa" w:w="3312"/>
          </w:tcPr>
          <w:p>
            <w:pPr>
              <w:spacing w:after="0" w:line="252" w:lineRule="auto"/>
            </w:pPr>
            <w:r/>
            <w:r>
              <w:rPr>
                <w:rFonts w:ascii="Calibri" w:hAnsi="Calibri"/>
                <w:b w:val="0"/>
                <w:color w:val="000000"/>
                <w:sz w:val="18"/>
              </w:rPr>
              <w:t>Run fails visibly; failure evidence is logged and file is routed to reject/validation_failed/ when failure routing is enabled.</w:t>
            </w:r>
          </w:p>
        </w:tc>
      </w:tr>
      <w:tr>
        <w:tc>
          <w:tcPr>
            <w:tcW w:type="dxa" w:w="3312"/>
          </w:tcPr>
          <w:p>
            <w:pPr>
              <w:spacing w:after="0" w:line="252" w:lineRule="auto"/>
            </w:pPr>
            <w:r/>
            <w:r>
              <w:rPr>
                <w:rFonts w:ascii="Calibri" w:hAnsi="Calibri"/>
                <w:b w:val="0"/>
                <w:color w:val="000000"/>
                <w:sz w:val="18"/>
              </w:rPr>
              <w:t>Dagster retry</w:t>
            </w:r>
          </w:p>
        </w:tc>
        <w:tc>
          <w:tcPr>
            <w:tcW w:type="dxa" w:w="3312"/>
          </w:tcPr>
          <w:p>
            <w:pPr>
              <w:spacing w:after="0" w:line="252" w:lineRule="auto"/>
            </w:pPr>
            <w:r/>
            <w:r>
              <w:rPr>
                <w:rFonts w:ascii="Calibri" w:hAnsi="Calibri"/>
                <w:b w:val="0"/>
                <w:color w:val="000000"/>
                <w:sz w:val="18"/>
              </w:rPr>
              <w:t>Retry policy is limited and observable.</w:t>
            </w:r>
          </w:p>
        </w:tc>
        <w:tc>
          <w:tcPr>
            <w:tcW w:type="dxa" w:w="3312"/>
          </w:tcPr>
          <w:p>
            <w:pPr>
              <w:spacing w:after="0" w:line="252" w:lineRule="auto"/>
            </w:pPr>
            <w:r/>
            <w:r>
              <w:rPr>
                <w:rFonts w:ascii="Calibri" w:hAnsi="Calibri"/>
                <w:b w:val="0"/>
                <w:color w:val="000000"/>
                <w:sz w:val="18"/>
              </w:rPr>
              <w:t>Transient workload issues can retry; final failure remains explicit for support.</w:t>
            </w:r>
          </w:p>
        </w:tc>
      </w:tr>
    </w:tbl>
    <w:p>
      <w:pPr>
        <w:spacing w:after="20"/>
      </w:pPr>
    </w:p>
    <w:tbl>
      <w:tblPr>
        <w:tblStyle w:val="TableGrid"/>
        <w:tblW w:type="dxa" w:w="9120"/>
        <w:tblLayout w:type="fixed"/>
        <w:tblLook w:firstColumn="1" w:firstRow="1" w:lastColumn="0" w:lastRow="0" w:noHBand="0" w:noVBand="1" w:val="04A0"/>
        <w:jc w:val="left"/>
        <w:tblBorders>
          <w:top w:val="single" w:sz="6" w:space="0" w:color="B9D8D3"/>
          <w:left w:val="single" w:sz="6" w:space="0" w:color="B9D8D3"/>
          <w:bottom w:val="single" w:sz="6" w:space="0" w:color="B9D8D3"/>
          <w:right w:val="single" w:sz="6" w:space="0" w:color="B9D8D3"/>
          <w:insideH w:val="single" w:sz="6" w:space="0" w:color="B9D8D3"/>
          <w:insideV w:val="single" w:sz="6" w:space="0" w:color="B9D8D3"/>
        </w:tblBorders>
        <w:tblInd w:w="120" w:type="dxa"/>
      </w:tblPr>
      <w:tblGrid>
        <w:gridCol w:w="9936"/>
      </w:tblGrid>
      <w:tr>
        <w:tc>
          <w:tcPr>
            <w:tcW w:type="dxa" w:w="9120"/>
            <w:tcMar>
              <w:top w:w="80" w:type="dxa"/>
              <w:start w:w="120" w:type="dxa"/>
              <w:bottom w:w="80" w:type="dxa"/>
              <w:end w:w="120" w:type="dxa"/>
            </w:tcMar>
            <w:vAlign w:val="center"/>
            <w:shd w:fill="E6F4F1"/>
          </w:tcPr>
          <w:p>
            <w:pPr>
              <w:spacing w:after="0" w:line="264" w:lineRule="auto"/>
            </w:pPr>
            <w:r/>
            <w:r>
              <w:rPr>
                <w:b/>
                <w:color w:val="0F766E"/>
              </w:rPr>
              <w:t xml:space="preserve">Key defence for review: </w:t>
            </w:r>
            <w:r>
              <w:rPr>
                <w:color w:val="0B2545"/>
              </w:rPr>
              <w:t>Filename is not treated as proof of uniqueness. The pipeline combines source metadata with a content SHA-256 hash. Therefore an identical file renamed by a user does not create a second Bronze/Silver/Snowflake load.</w:t>
            </w:r>
          </w:p>
        </w:tc>
      </w:tr>
    </w:tbl>
    <w:p>
      <w:pPr>
        <w:spacing w:after="20"/>
      </w:pPr>
    </w:p>
    <w:p>
      <w:pPr>
        <w:pStyle w:val="Heading1"/>
      </w:pPr>
      <w:r>
        <w:t>14. Security and Configuration</w:t>
      </w:r>
    </w:p>
    <w:p>
      <w:pPr>
        <w:pStyle w:val="ListBullet"/>
        <w:spacing w:after="60" w:line="276" w:lineRule="auto"/>
        <w:ind w:left="360" w:hanging="259"/>
      </w:pPr>
      <w:r>
        <w:t>AWS IAM follows least privilege: list landing/archive/reject prefixes; read landing files; write archive/reject objects; delete landing objects only after successful archive.</w:t>
      </w:r>
    </w:p>
    <w:p>
      <w:pPr>
        <w:pStyle w:val="ListBullet"/>
        <w:spacing w:after="60" w:line="276" w:lineRule="auto"/>
        <w:ind w:left="360" w:hanging="259"/>
      </w:pPr>
      <w:r>
        <w:t>Databricks accesses S3 through an IAM role and external location/storage credential; access is scoped to the required bucket prefixes.</w:t>
      </w:r>
    </w:p>
    <w:p>
      <w:pPr>
        <w:pStyle w:val="ListBullet"/>
        <w:spacing w:after="60" w:line="276" w:lineRule="auto"/>
        <w:ind w:left="360" w:hanging="259"/>
      </w:pPr>
      <w:r>
        <w:t>Snowflake password is stored as a Databricks secret for connector execution, not hard-coded in notebooks.</w:t>
      </w:r>
    </w:p>
    <w:p>
      <w:pPr>
        <w:pStyle w:val="ListBullet"/>
        <w:spacing w:after="60" w:line="276" w:lineRule="auto"/>
        <w:ind w:left="360" w:hanging="259"/>
      </w:pPr>
      <w:r>
        <w:t>Dagster local .env contains AWS, Databricks, and Snowflake runtime configuration. It is excluded from Git.</w:t>
      </w:r>
    </w:p>
    <w:p>
      <w:pPr>
        <w:pStyle w:val="ListBullet"/>
        <w:spacing w:after="60" w:line="276" w:lineRule="auto"/>
        <w:ind w:left="360" w:hanging="259"/>
      </w:pPr>
      <w:r>
        <w:t>Databricks personal-access tokens and AWS access keys are never included in source code, documentation, screenshots, or the repository.</w:t>
      </w:r>
    </w:p>
    <w:p>
      <w:pPr>
        <w:pStyle w:val="ListBullet"/>
        <w:spacing w:after="60" w:line="276" w:lineRule="auto"/>
        <w:ind w:left="360" w:hanging="259"/>
      </w:pPr>
      <w:r>
        <w:t>Only read-only, allowlisted Gold objects should be exposed to the optional natural-language-to-SQL website.</w:t>
      </w:r>
    </w:p>
    <w:p>
      <w:pPr>
        <w:pStyle w:val="Heading1"/>
      </w:pPr>
      <w:r>
        <w:t>15. Testing and Validation Evidence</w:t>
      </w:r>
    </w:p>
    <w:tbl>
      <w:tblPr>
        <w:tblStyle w:val="TableGrid"/>
        <w:tblW w:type="dxa" w:w="9120"/>
        <w:tblLayout w:type="fixed"/>
        <w:tblLook w:firstColumn="1" w:firstRow="1" w:lastColumn="0" w:lastRow="0" w:noHBand="0" w:noVBand="1" w:val="04A0"/>
        <w:jc w:val="left"/>
        <w:tblBorders>
          <w:top w:val="single" w:sz="6" w:space="0" w:color="C7D1DE"/>
          <w:left w:val="single" w:sz="6" w:space="0" w:color="C7D1DE"/>
          <w:bottom w:val="single" w:sz="6" w:space="0" w:color="C7D1DE"/>
          <w:right w:val="single" w:sz="6" w:space="0" w:color="C7D1DE"/>
          <w:insideH w:val="single" w:sz="6" w:space="0" w:color="C7D1DE"/>
          <w:insideV w:val="single" w:sz="6" w:space="0" w:color="C7D1DE"/>
        </w:tblBorders>
        <w:tblInd w:w="120" w:type="dxa"/>
      </w:tblPr>
      <w:tblGrid>
        <w:gridCol w:w="4968"/>
        <w:gridCol w:w="4968"/>
      </w:tblGrid>
      <w:tr>
        <w:trPr>
          <w:tblHeader w:val="true"/>
        </w:trPr>
        <w:tc>
          <w:tcPr>
            <w:tcW w:type="dxa" w:w="2850"/>
            <w:tcMar>
              <w:top w:w="80" w:type="dxa"/>
              <w:start w:w="120" w:type="dxa"/>
              <w:bottom w:w="80" w:type="dxa"/>
              <w:end w:w="120" w:type="dxa"/>
            </w:tcMar>
            <w:vAlign w:val="center"/>
            <w:shd w:fill="E8EEF5"/>
          </w:tcPr>
          <w:p>
            <w:pPr>
              <w:spacing w:after="0" w:line="252" w:lineRule="auto"/>
            </w:pPr>
            <w:r/>
            <w:r>
              <w:rPr>
                <w:rFonts w:ascii="Calibri" w:hAnsi="Calibri"/>
                <w:b/>
                <w:color w:val="0B2545"/>
                <w:sz w:val="18"/>
              </w:rPr>
              <w:t>Test case</w:t>
            </w:r>
          </w:p>
        </w:tc>
        <w:tc>
          <w:tcPr>
            <w:tcW w:type="dxa" w:w="6270"/>
            <w:tcMar>
              <w:top w:w="80" w:type="dxa"/>
              <w:start w:w="120" w:type="dxa"/>
              <w:bottom w:w="80" w:type="dxa"/>
              <w:end w:w="120" w:type="dxa"/>
            </w:tcMar>
            <w:vAlign w:val="center"/>
            <w:shd w:fill="E8EEF5"/>
          </w:tcPr>
          <w:p>
            <w:pPr>
              <w:spacing w:after="0" w:line="252" w:lineRule="auto"/>
            </w:pPr>
            <w:r/>
            <w:r>
              <w:rPr>
                <w:rFonts w:ascii="Calibri" w:hAnsi="Calibri"/>
                <w:b/>
                <w:color w:val="0B2545"/>
                <w:sz w:val="18"/>
              </w:rPr>
              <w:t>Evidence to capture for submission/demo</w:t>
            </w:r>
          </w:p>
        </w:tc>
      </w:tr>
      <w:tr>
        <w:tc>
          <w:tcPr>
            <w:tcW w:type="dxa" w:w="4968"/>
          </w:tcPr>
          <w:p>
            <w:pPr>
              <w:spacing w:after="0" w:line="252" w:lineRule="auto"/>
            </w:pPr>
            <w:r/>
            <w:r>
              <w:rPr>
                <w:rFonts w:ascii="Calibri" w:hAnsi="Calibri"/>
                <w:b w:val="0"/>
                <w:color w:val="000000"/>
                <w:sz w:val="18"/>
              </w:rPr>
              <w:t>Initial source ingestion</w:t>
            </w:r>
          </w:p>
        </w:tc>
        <w:tc>
          <w:tcPr>
            <w:tcW w:type="dxa" w:w="4968"/>
          </w:tcPr>
          <w:p>
            <w:pPr>
              <w:spacing w:after="0" w:line="252" w:lineRule="auto"/>
            </w:pPr>
            <w:r/>
            <w:r>
              <w:rPr>
                <w:rFonts w:ascii="Calibri" w:hAnsi="Calibri"/>
                <w:b w:val="0"/>
                <w:color w:val="000000"/>
                <w:sz w:val="18"/>
              </w:rPr>
              <w:t>S3 landing object; processed_files audit row; Bronze count; Bronze validation output.</w:t>
            </w:r>
          </w:p>
        </w:tc>
      </w:tr>
      <w:tr>
        <w:tc>
          <w:tcPr>
            <w:tcW w:type="dxa" w:w="4968"/>
          </w:tcPr>
          <w:p>
            <w:pPr>
              <w:spacing w:after="0" w:line="252" w:lineRule="auto"/>
            </w:pPr>
            <w:r/>
            <w:r>
              <w:rPr>
                <w:rFonts w:ascii="Calibri" w:hAnsi="Calibri"/>
                <w:b w:val="0"/>
                <w:color w:val="000000"/>
                <w:sz w:val="18"/>
              </w:rPr>
              <w:t>Silver quality transformation</w:t>
            </w:r>
          </w:p>
        </w:tc>
        <w:tc>
          <w:tcPr>
            <w:tcW w:type="dxa" w:w="4968"/>
          </w:tcPr>
          <w:p>
            <w:pPr>
              <w:spacing w:after="0" w:line="252" w:lineRule="auto"/>
            </w:pPr>
            <w:r/>
            <w:r>
              <w:rPr>
                <w:rFonts w:ascii="Calibri" w:hAnsi="Calibri"/>
                <w:b w:val="0"/>
                <w:color w:val="000000"/>
                <w:sz w:val="18"/>
              </w:rPr>
              <w:t>Silver batch audit row; Bronze-to-Silver reconciliation; duplicate diagnostic.</w:t>
            </w:r>
          </w:p>
        </w:tc>
      </w:tr>
      <w:tr>
        <w:tc>
          <w:tcPr>
            <w:tcW w:type="dxa" w:w="4968"/>
          </w:tcPr>
          <w:p>
            <w:pPr>
              <w:spacing w:after="0" w:line="252" w:lineRule="auto"/>
            </w:pPr>
            <w:r/>
            <w:r>
              <w:rPr>
                <w:rFonts w:ascii="Calibri" w:hAnsi="Calibri"/>
                <w:b w:val="0"/>
                <w:color w:val="000000"/>
                <w:sz w:val="18"/>
              </w:rPr>
              <w:t>Snowflake incremental load</w:t>
            </w:r>
          </w:p>
        </w:tc>
        <w:tc>
          <w:tcPr>
            <w:tcW w:type="dxa" w:w="4968"/>
          </w:tcPr>
          <w:p>
            <w:pPr>
              <w:spacing w:after="0" w:line="252" w:lineRule="auto"/>
            </w:pPr>
            <w:r/>
            <w:r>
              <w:rPr>
                <w:rFonts w:ascii="Calibri" w:hAnsi="Calibri"/>
                <w:b w:val="0"/>
                <w:color w:val="000000"/>
                <w:sz w:val="18"/>
              </w:rPr>
              <w:t>RAW count by batch_id and source_file; Snowflake reconciliation result.</w:t>
            </w:r>
          </w:p>
        </w:tc>
      </w:tr>
      <w:tr>
        <w:tc>
          <w:tcPr>
            <w:tcW w:type="dxa" w:w="4968"/>
          </w:tcPr>
          <w:p>
            <w:pPr>
              <w:spacing w:after="0" w:line="252" w:lineRule="auto"/>
            </w:pPr>
            <w:r/>
            <w:r>
              <w:rPr>
                <w:rFonts w:ascii="Calibri" w:hAnsi="Calibri"/>
                <w:b w:val="0"/>
                <w:color w:val="000000"/>
                <w:sz w:val="18"/>
              </w:rPr>
              <w:t>Gold refresh</w:t>
            </w:r>
          </w:p>
        </w:tc>
        <w:tc>
          <w:tcPr>
            <w:tcW w:type="dxa" w:w="4968"/>
          </w:tcPr>
          <w:p>
            <w:pPr>
              <w:spacing w:after="0" w:line="252" w:lineRule="auto"/>
            </w:pPr>
            <w:r/>
            <w:r>
              <w:rPr>
                <w:rFonts w:ascii="Calibri" w:hAnsi="Calibri"/>
                <w:b w:val="0"/>
                <w:color w:val="000000"/>
                <w:sz w:val="18"/>
              </w:rPr>
              <w:t>Procedure result and counts from all three Gold tables plus analyst review view.</w:t>
            </w:r>
          </w:p>
        </w:tc>
      </w:tr>
      <w:tr>
        <w:tc>
          <w:tcPr>
            <w:tcW w:type="dxa" w:w="4968"/>
          </w:tcPr>
          <w:p>
            <w:pPr>
              <w:spacing w:after="0" w:line="252" w:lineRule="auto"/>
            </w:pPr>
            <w:r/>
            <w:r>
              <w:rPr>
                <w:rFonts w:ascii="Calibri" w:hAnsi="Calibri"/>
                <w:b w:val="0"/>
                <w:color w:val="000000"/>
                <w:sz w:val="18"/>
              </w:rPr>
              <w:t>Archive success path</w:t>
            </w:r>
          </w:p>
        </w:tc>
        <w:tc>
          <w:tcPr>
            <w:tcW w:type="dxa" w:w="4968"/>
          </w:tcPr>
          <w:p>
            <w:pPr>
              <w:spacing w:after="0" w:line="252" w:lineRule="auto"/>
            </w:pPr>
            <w:r/>
            <w:r>
              <w:rPr>
                <w:rFonts w:ascii="Calibri" w:hAnsi="Calibri"/>
                <w:b w:val="0"/>
                <w:color w:val="000000"/>
                <w:sz w:val="18"/>
              </w:rPr>
              <w:t>Dagster log showing archive_processed_file and S3 archive/ object.</w:t>
            </w:r>
          </w:p>
        </w:tc>
      </w:tr>
      <w:tr>
        <w:tc>
          <w:tcPr>
            <w:tcW w:type="dxa" w:w="4968"/>
          </w:tcPr>
          <w:p>
            <w:pPr>
              <w:spacing w:after="0" w:line="252" w:lineRule="auto"/>
            </w:pPr>
            <w:r/>
            <w:r>
              <w:rPr>
                <w:rFonts w:ascii="Calibri" w:hAnsi="Calibri"/>
                <w:b w:val="0"/>
                <w:color w:val="000000"/>
                <w:sz w:val="18"/>
              </w:rPr>
              <w:t>Same-file duplicate protection</w:t>
            </w:r>
          </w:p>
        </w:tc>
        <w:tc>
          <w:tcPr>
            <w:tcW w:type="dxa" w:w="4968"/>
          </w:tcPr>
          <w:p>
            <w:pPr>
              <w:spacing w:after="0" w:line="252" w:lineRule="auto"/>
            </w:pPr>
            <w:r/>
            <w:r>
              <w:rPr>
                <w:rFonts w:ascii="Calibri" w:hAnsi="Calibri"/>
                <w:b w:val="0"/>
                <w:color w:val="000000"/>
                <w:sz w:val="18"/>
              </w:rPr>
              <w:t>Same-content/new-name test, duplicate audit evidence, and reject/duplicates/ object.</w:t>
            </w:r>
          </w:p>
        </w:tc>
      </w:tr>
      <w:tr>
        <w:tc>
          <w:tcPr>
            <w:tcW w:type="dxa" w:w="4968"/>
          </w:tcPr>
          <w:p>
            <w:pPr>
              <w:spacing w:after="0" w:line="252" w:lineRule="auto"/>
            </w:pPr>
            <w:r/>
            <w:r>
              <w:rPr>
                <w:rFonts w:ascii="Calibri" w:hAnsi="Calibri"/>
                <w:b w:val="0"/>
                <w:color w:val="000000"/>
                <w:sz w:val="18"/>
              </w:rPr>
              <w:t>Failure/reject path</w:t>
            </w:r>
          </w:p>
        </w:tc>
        <w:tc>
          <w:tcPr>
            <w:tcW w:type="dxa" w:w="4968"/>
          </w:tcPr>
          <w:p>
            <w:pPr>
              <w:spacing w:after="0" w:line="252" w:lineRule="auto"/>
            </w:pPr>
            <w:r/>
            <w:r>
              <w:rPr>
                <w:rFonts w:ascii="Calibri" w:hAnsi="Calibri"/>
                <w:b w:val="0"/>
                <w:color w:val="000000"/>
                <w:sz w:val="18"/>
              </w:rPr>
              <w:t>A controlled invalid-file test, error log, and reject/validation_failed/ object.</w:t>
            </w:r>
          </w:p>
        </w:tc>
      </w:tr>
      <w:tr>
        <w:tc>
          <w:tcPr>
            <w:tcW w:type="dxa" w:w="4968"/>
          </w:tcPr>
          <w:p>
            <w:pPr>
              <w:spacing w:after="0" w:line="252" w:lineRule="auto"/>
            </w:pPr>
            <w:r/>
            <w:r>
              <w:rPr>
                <w:rFonts w:ascii="Calibri" w:hAnsi="Calibri"/>
                <w:b w:val="0"/>
                <w:color w:val="000000"/>
                <w:sz w:val="18"/>
              </w:rPr>
              <w:t>Top-100 review validation</w:t>
            </w:r>
          </w:p>
        </w:tc>
        <w:tc>
          <w:tcPr>
            <w:tcW w:type="dxa" w:w="4968"/>
          </w:tcPr>
          <w:p>
            <w:pPr>
              <w:spacing w:after="0" w:line="252" w:lineRule="auto"/>
            </w:pPr>
            <w:r/>
            <w:r>
              <w:rPr>
                <w:rFonts w:ascii="Calibri" w:hAnsi="Calibri"/>
                <w:b w:val="0"/>
                <w:color w:val="000000"/>
                <w:sz w:val="18"/>
              </w:rPr>
              <w:t>Query the top 100 rows from ANALYST_REVIEW_QUEUE ordered by priority/score and verify the supporting flags.</w:t>
            </w:r>
          </w:p>
        </w:tc>
      </w:tr>
    </w:tbl>
    <w:p>
      <w:pPr>
        <w:spacing w:after="20"/>
      </w:pPr>
    </w:p>
    <w:p>
      <w:pPr>
        <w:pStyle w:val="Heading1"/>
      </w:pPr>
      <w:r>
        <w:t>16. Data Model Documentation</w:t>
      </w:r>
    </w:p>
    <w:tbl>
      <w:tblPr>
        <w:tblStyle w:val="TableGrid"/>
        <w:tblW w:type="dxa" w:w="11120"/>
        <w:tblLayout w:type="fixed"/>
        <w:tblLook w:firstColumn="1" w:firstRow="1" w:lastColumn="0" w:lastRow="0" w:noHBand="0" w:noVBand="1" w:val="04A0"/>
        <w:jc w:val="left"/>
        <w:tblBorders>
          <w:top w:val="single" w:sz="6" w:space="0" w:color="C7D1DE"/>
          <w:left w:val="single" w:sz="6" w:space="0" w:color="C7D1DE"/>
          <w:bottom w:val="single" w:sz="6" w:space="0" w:color="C7D1DE"/>
          <w:right w:val="single" w:sz="6" w:space="0" w:color="C7D1DE"/>
          <w:insideH w:val="single" w:sz="6" w:space="0" w:color="C7D1DE"/>
          <w:insideV w:val="single" w:sz="6" w:space="0" w:color="C7D1DE"/>
        </w:tblBorders>
        <w:tblInd w:w="120" w:type="dxa"/>
      </w:tblPr>
      <w:tblGrid>
        <w:gridCol w:w="2484"/>
        <w:gridCol w:w="2484"/>
        <w:gridCol w:w="2484"/>
        <w:gridCol w:w="2484"/>
      </w:tblGrid>
      <w:tr>
        <w:trPr>
          <w:tblHeader w:val="true"/>
        </w:trPr>
        <w:tc>
          <w:tcPr>
            <w:tcW w:type="dxa" w:w="1750"/>
            <w:tcMar>
              <w:top w:w="80" w:type="dxa"/>
              <w:start w:w="120" w:type="dxa"/>
              <w:bottom w:w="80" w:type="dxa"/>
              <w:end w:w="120" w:type="dxa"/>
            </w:tcMar>
            <w:vAlign w:val="center"/>
            <w:shd w:fill="E8EEF5"/>
          </w:tcPr>
          <w:p>
            <w:pPr>
              <w:spacing w:after="0" w:line="252" w:lineRule="auto"/>
            </w:pPr>
            <w:r/>
            <w:r>
              <w:rPr>
                <w:rFonts w:ascii="Calibri" w:hAnsi="Calibri"/>
                <w:b/>
                <w:color w:val="0B2545"/>
                <w:sz w:val="18"/>
              </w:rPr>
              <w:t>Schema</w:t>
            </w:r>
          </w:p>
        </w:tc>
        <w:tc>
          <w:tcPr>
            <w:tcW w:type="dxa" w:w="2550"/>
            <w:tcMar>
              <w:top w:w="80" w:type="dxa"/>
              <w:start w:w="120" w:type="dxa"/>
              <w:bottom w:w="80" w:type="dxa"/>
              <w:end w:w="120" w:type="dxa"/>
            </w:tcMar>
            <w:vAlign w:val="center"/>
            <w:shd w:fill="E8EEF5"/>
          </w:tcPr>
          <w:p>
            <w:pPr>
              <w:spacing w:after="0" w:line="252" w:lineRule="auto"/>
            </w:pPr>
            <w:r/>
            <w:r>
              <w:rPr>
                <w:rFonts w:ascii="Calibri" w:hAnsi="Calibri"/>
                <w:b/>
                <w:color w:val="0B2545"/>
                <w:sz w:val="18"/>
              </w:rPr>
              <w:t>Object</w:t>
            </w:r>
          </w:p>
        </w:tc>
        <w:tc>
          <w:tcPr>
            <w:tcW w:type="dxa" w:w="2560"/>
            <w:tcMar>
              <w:top w:w="80" w:type="dxa"/>
              <w:start w:w="120" w:type="dxa"/>
              <w:bottom w:w="80" w:type="dxa"/>
              <w:end w:w="120" w:type="dxa"/>
            </w:tcMar>
            <w:vAlign w:val="center"/>
            <w:shd w:fill="E8EEF5"/>
          </w:tcPr>
          <w:p>
            <w:pPr>
              <w:spacing w:after="0" w:line="252" w:lineRule="auto"/>
            </w:pPr>
            <w:r/>
            <w:r>
              <w:rPr>
                <w:rFonts w:ascii="Calibri" w:hAnsi="Calibri"/>
                <w:b/>
                <w:color w:val="0B2545"/>
                <w:sz w:val="18"/>
              </w:rPr>
              <w:t>Grain</w:t>
            </w:r>
          </w:p>
        </w:tc>
        <w:tc>
          <w:tcPr>
            <w:tcW w:type="dxa" w:w="4260"/>
            <w:tcMar>
              <w:top w:w="80" w:type="dxa"/>
              <w:start w:w="120" w:type="dxa"/>
              <w:bottom w:w="80" w:type="dxa"/>
              <w:end w:w="120" w:type="dxa"/>
            </w:tcMar>
            <w:vAlign w:val="center"/>
            <w:shd w:fill="E8EEF5"/>
          </w:tcPr>
          <w:p>
            <w:pPr>
              <w:spacing w:after="0" w:line="252" w:lineRule="auto"/>
            </w:pPr>
            <w:r/>
            <w:r>
              <w:rPr>
                <w:rFonts w:ascii="Calibri" w:hAnsi="Calibri"/>
                <w:b/>
                <w:color w:val="0B2545"/>
                <w:sz w:val="18"/>
              </w:rPr>
              <w:t>Primary purpose</w:t>
            </w:r>
          </w:p>
        </w:tc>
      </w:tr>
      <w:tr>
        <w:tc>
          <w:tcPr>
            <w:tcW w:type="dxa" w:w="2484"/>
          </w:tcPr>
          <w:p>
            <w:pPr>
              <w:spacing w:after="0" w:line="252" w:lineRule="auto"/>
            </w:pPr>
            <w:r/>
            <w:r>
              <w:rPr>
                <w:rFonts w:ascii="Calibri" w:hAnsi="Calibri"/>
                <w:b w:val="0"/>
                <w:color w:val="000000"/>
                <w:sz w:val="18"/>
              </w:rPr>
              <w:t>Databricks Bronze</w:t>
            </w:r>
          </w:p>
        </w:tc>
        <w:tc>
          <w:tcPr>
            <w:tcW w:type="dxa" w:w="2484"/>
          </w:tcPr>
          <w:p>
            <w:pPr>
              <w:spacing w:after="0" w:line="252" w:lineRule="auto"/>
            </w:pPr>
            <w:r/>
            <w:r>
              <w:rPr>
                <w:rFonts w:ascii="Calibri" w:hAnsi="Calibri"/>
                <w:b w:val="0"/>
                <w:color w:val="000000"/>
                <w:sz w:val="18"/>
              </w:rPr>
              <w:t>transactions_raw</w:t>
            </w:r>
          </w:p>
        </w:tc>
        <w:tc>
          <w:tcPr>
            <w:tcW w:type="dxa" w:w="2484"/>
          </w:tcPr>
          <w:p>
            <w:pPr>
              <w:spacing w:after="0" w:line="252" w:lineRule="auto"/>
            </w:pPr>
            <w:r/>
            <w:r>
              <w:rPr>
                <w:rFonts w:ascii="Calibri" w:hAnsi="Calibri"/>
                <w:b w:val="0"/>
                <w:color w:val="000000"/>
                <w:sz w:val="18"/>
              </w:rPr>
              <w:t>One row per source record per accepted source file.</w:t>
            </w:r>
          </w:p>
        </w:tc>
        <w:tc>
          <w:tcPr>
            <w:tcW w:type="dxa" w:w="2484"/>
          </w:tcPr>
          <w:p>
            <w:pPr>
              <w:spacing w:after="0" w:line="252" w:lineRule="auto"/>
            </w:pPr>
            <w:r/>
            <w:r>
              <w:rPr>
                <w:rFonts w:ascii="Calibri" w:hAnsi="Calibri"/>
                <w:b w:val="0"/>
                <w:color w:val="000000"/>
                <w:sz w:val="18"/>
              </w:rPr>
              <w:t>Raw preservation and traceability.</w:t>
            </w:r>
          </w:p>
        </w:tc>
      </w:tr>
      <w:tr>
        <w:tc>
          <w:tcPr>
            <w:tcW w:type="dxa" w:w="2484"/>
          </w:tcPr>
          <w:p>
            <w:pPr>
              <w:spacing w:after="0" w:line="252" w:lineRule="auto"/>
            </w:pPr>
            <w:r/>
            <w:r>
              <w:rPr>
                <w:rFonts w:ascii="Calibri" w:hAnsi="Calibri"/>
                <w:b w:val="0"/>
                <w:color w:val="000000"/>
                <w:sz w:val="18"/>
              </w:rPr>
              <w:t>Databricks Ops</w:t>
            </w:r>
          </w:p>
        </w:tc>
        <w:tc>
          <w:tcPr>
            <w:tcW w:type="dxa" w:w="2484"/>
          </w:tcPr>
          <w:p>
            <w:pPr>
              <w:spacing w:after="0" w:line="252" w:lineRule="auto"/>
            </w:pPr>
            <w:r/>
            <w:r>
              <w:rPr>
                <w:rFonts w:ascii="Calibri" w:hAnsi="Calibri"/>
                <w:b w:val="0"/>
                <w:color w:val="000000"/>
                <w:sz w:val="18"/>
              </w:rPr>
              <w:t>processed_files</w:t>
            </w:r>
          </w:p>
        </w:tc>
        <w:tc>
          <w:tcPr>
            <w:tcW w:type="dxa" w:w="2484"/>
          </w:tcPr>
          <w:p>
            <w:pPr>
              <w:spacing w:after="0" w:line="252" w:lineRule="auto"/>
            </w:pPr>
            <w:r/>
            <w:r>
              <w:rPr>
                <w:rFonts w:ascii="Calibri" w:hAnsi="Calibri"/>
                <w:b w:val="0"/>
                <w:color w:val="000000"/>
                <w:sz w:val="18"/>
              </w:rPr>
              <w:t>One row per Bronze file attempt.</w:t>
            </w:r>
          </w:p>
        </w:tc>
        <w:tc>
          <w:tcPr>
            <w:tcW w:type="dxa" w:w="2484"/>
          </w:tcPr>
          <w:p>
            <w:pPr>
              <w:spacing w:after="0" w:line="252" w:lineRule="auto"/>
            </w:pPr>
            <w:r/>
            <w:r>
              <w:rPr>
                <w:rFonts w:ascii="Calibri" w:hAnsi="Calibri"/>
                <w:b w:val="0"/>
                <w:color w:val="000000"/>
                <w:sz w:val="18"/>
              </w:rPr>
              <w:t>Ingestion audit, file metadata, duplicate prevention.</w:t>
            </w:r>
          </w:p>
        </w:tc>
      </w:tr>
      <w:tr>
        <w:tc>
          <w:tcPr>
            <w:tcW w:type="dxa" w:w="2484"/>
          </w:tcPr>
          <w:p>
            <w:pPr>
              <w:spacing w:after="0" w:line="252" w:lineRule="auto"/>
            </w:pPr>
            <w:r/>
            <w:r>
              <w:rPr>
                <w:rFonts w:ascii="Calibri" w:hAnsi="Calibri"/>
                <w:b w:val="0"/>
                <w:color w:val="000000"/>
                <w:sz w:val="18"/>
              </w:rPr>
              <w:t>Databricks Silver</w:t>
            </w:r>
          </w:p>
        </w:tc>
        <w:tc>
          <w:tcPr>
            <w:tcW w:type="dxa" w:w="2484"/>
          </w:tcPr>
          <w:p>
            <w:pPr>
              <w:spacing w:after="0" w:line="252" w:lineRule="auto"/>
            </w:pPr>
            <w:r/>
            <w:r>
              <w:rPr>
                <w:rFonts w:ascii="Calibri" w:hAnsi="Calibri"/>
                <w:b w:val="0"/>
                <w:color w:val="000000"/>
                <w:sz w:val="18"/>
              </w:rPr>
              <w:t>transactions_silver_incremental</w:t>
            </w:r>
          </w:p>
        </w:tc>
        <w:tc>
          <w:tcPr>
            <w:tcW w:type="dxa" w:w="2484"/>
          </w:tcPr>
          <w:p>
            <w:pPr>
              <w:spacing w:after="0" w:line="252" w:lineRule="auto"/>
            </w:pPr>
            <w:r/>
            <w:r>
              <w:rPr>
                <w:rFonts w:ascii="Calibri" w:hAnsi="Calibri"/>
                <w:b w:val="0"/>
                <w:color w:val="000000"/>
                <w:sz w:val="18"/>
              </w:rPr>
              <w:t>One clean, deduplicated row per transaction.</w:t>
            </w:r>
          </w:p>
        </w:tc>
        <w:tc>
          <w:tcPr>
            <w:tcW w:type="dxa" w:w="2484"/>
          </w:tcPr>
          <w:p>
            <w:pPr>
              <w:spacing w:after="0" w:line="252" w:lineRule="auto"/>
            </w:pPr>
            <w:r/>
            <w:r>
              <w:rPr>
                <w:rFonts w:ascii="Calibri" w:hAnsi="Calibri"/>
                <w:b w:val="0"/>
                <w:color w:val="000000"/>
                <w:sz w:val="18"/>
              </w:rPr>
              <w:t>Feature-enriched analyst-ready data.</w:t>
            </w:r>
          </w:p>
        </w:tc>
      </w:tr>
      <w:tr>
        <w:tc>
          <w:tcPr>
            <w:tcW w:type="dxa" w:w="2484"/>
          </w:tcPr>
          <w:p>
            <w:pPr>
              <w:spacing w:after="0" w:line="252" w:lineRule="auto"/>
            </w:pPr>
            <w:r/>
            <w:r>
              <w:rPr>
                <w:rFonts w:ascii="Calibri" w:hAnsi="Calibri"/>
                <w:b w:val="0"/>
                <w:color w:val="000000"/>
                <w:sz w:val="18"/>
              </w:rPr>
              <w:t>Databricks Ops</w:t>
            </w:r>
          </w:p>
        </w:tc>
        <w:tc>
          <w:tcPr>
            <w:tcW w:type="dxa" w:w="2484"/>
          </w:tcPr>
          <w:p>
            <w:pPr>
              <w:spacing w:after="0" w:line="252" w:lineRule="auto"/>
            </w:pPr>
            <w:r/>
            <w:r>
              <w:rPr>
                <w:rFonts w:ascii="Calibri" w:hAnsi="Calibri"/>
                <w:b w:val="0"/>
                <w:color w:val="000000"/>
                <w:sz w:val="18"/>
              </w:rPr>
              <w:t>silver_processed_batches</w:t>
            </w:r>
          </w:p>
        </w:tc>
        <w:tc>
          <w:tcPr>
            <w:tcW w:type="dxa" w:w="2484"/>
          </w:tcPr>
          <w:p>
            <w:pPr>
              <w:spacing w:after="0" w:line="252" w:lineRule="auto"/>
            </w:pPr>
            <w:r/>
            <w:r>
              <w:rPr>
                <w:rFonts w:ascii="Calibri" w:hAnsi="Calibri"/>
                <w:b w:val="0"/>
                <w:color w:val="000000"/>
                <w:sz w:val="18"/>
              </w:rPr>
              <w:t>One row per Silver batch attempt.</w:t>
            </w:r>
          </w:p>
        </w:tc>
        <w:tc>
          <w:tcPr>
            <w:tcW w:type="dxa" w:w="2484"/>
          </w:tcPr>
          <w:p>
            <w:pPr>
              <w:spacing w:after="0" w:line="252" w:lineRule="auto"/>
            </w:pPr>
            <w:r/>
            <w:r>
              <w:rPr>
                <w:rFonts w:ascii="Calibri" w:hAnsi="Calibri"/>
                <w:b w:val="0"/>
                <w:color w:val="000000"/>
                <w:sz w:val="18"/>
              </w:rPr>
              <w:t>Transformation audit and reconciliation.</w:t>
            </w:r>
          </w:p>
        </w:tc>
      </w:tr>
      <w:tr>
        <w:tc>
          <w:tcPr>
            <w:tcW w:type="dxa" w:w="2484"/>
          </w:tcPr>
          <w:p>
            <w:pPr>
              <w:spacing w:after="0" w:line="252" w:lineRule="auto"/>
            </w:pPr>
            <w:r/>
            <w:r>
              <w:rPr>
                <w:rFonts w:ascii="Calibri" w:hAnsi="Calibri"/>
                <w:b w:val="0"/>
                <w:color w:val="000000"/>
                <w:sz w:val="18"/>
              </w:rPr>
              <w:t>Snowflake RAW</w:t>
            </w:r>
          </w:p>
        </w:tc>
        <w:tc>
          <w:tcPr>
            <w:tcW w:type="dxa" w:w="2484"/>
          </w:tcPr>
          <w:p>
            <w:pPr>
              <w:spacing w:after="0" w:line="252" w:lineRule="auto"/>
            </w:pPr>
            <w:r/>
            <w:r>
              <w:rPr>
                <w:rFonts w:ascii="Calibri" w:hAnsi="Calibri"/>
                <w:b w:val="0"/>
                <w:color w:val="000000"/>
                <w:sz w:val="18"/>
              </w:rPr>
              <w:t>TRANSACTIONS</w:t>
            </w:r>
          </w:p>
        </w:tc>
        <w:tc>
          <w:tcPr>
            <w:tcW w:type="dxa" w:w="2484"/>
          </w:tcPr>
          <w:p>
            <w:pPr>
              <w:spacing w:after="0" w:line="252" w:lineRule="auto"/>
            </w:pPr>
            <w:r/>
            <w:r>
              <w:rPr>
                <w:rFonts w:ascii="Calibri" w:hAnsi="Calibri"/>
                <w:b w:val="0"/>
                <w:color w:val="000000"/>
                <w:sz w:val="18"/>
              </w:rPr>
              <w:t>One Silver transaction record per loaded batch.</w:t>
            </w:r>
          </w:p>
        </w:tc>
        <w:tc>
          <w:tcPr>
            <w:tcW w:type="dxa" w:w="2484"/>
          </w:tcPr>
          <w:p>
            <w:pPr>
              <w:spacing w:after="0" w:line="252" w:lineRule="auto"/>
            </w:pPr>
            <w:r/>
            <w:r>
              <w:rPr>
                <w:rFonts w:ascii="Calibri" w:hAnsi="Calibri"/>
                <w:b w:val="0"/>
                <w:color w:val="000000"/>
                <w:sz w:val="18"/>
              </w:rPr>
              <w:t>Snowflake analytic source.</w:t>
            </w:r>
          </w:p>
        </w:tc>
      </w:tr>
      <w:tr>
        <w:tc>
          <w:tcPr>
            <w:tcW w:type="dxa" w:w="2484"/>
          </w:tcPr>
          <w:p>
            <w:pPr>
              <w:spacing w:after="0" w:line="252" w:lineRule="auto"/>
            </w:pPr>
            <w:r/>
            <w:r>
              <w:rPr>
                <w:rFonts w:ascii="Calibri" w:hAnsi="Calibri"/>
                <w:b w:val="0"/>
                <w:color w:val="000000"/>
                <w:sz w:val="18"/>
              </w:rPr>
              <w:t>Snowflake Analytics</w:t>
            </w:r>
          </w:p>
        </w:tc>
        <w:tc>
          <w:tcPr>
            <w:tcW w:type="dxa" w:w="2484"/>
          </w:tcPr>
          <w:p>
            <w:pPr>
              <w:spacing w:after="0" w:line="252" w:lineRule="auto"/>
            </w:pPr>
            <w:r/>
            <w:r>
              <w:rPr>
                <w:rFonts w:ascii="Calibri" w:hAnsi="Calibri"/>
                <w:b w:val="0"/>
                <w:color w:val="000000"/>
                <w:sz w:val="18"/>
              </w:rPr>
              <w:t>3 tables + analyst queue view</w:t>
            </w:r>
          </w:p>
        </w:tc>
        <w:tc>
          <w:tcPr>
            <w:tcW w:type="dxa" w:w="2484"/>
          </w:tcPr>
          <w:p>
            <w:pPr>
              <w:spacing w:after="0" w:line="252" w:lineRule="auto"/>
            </w:pPr>
            <w:r/>
            <w:r>
              <w:rPr>
                <w:rFonts w:ascii="Calibri" w:hAnsi="Calibri"/>
                <w:b w:val="0"/>
                <w:color w:val="000000"/>
                <w:sz w:val="18"/>
              </w:rPr>
              <w:t>Aggregate grain varies; queue is transaction-level.</w:t>
            </w:r>
          </w:p>
        </w:tc>
        <w:tc>
          <w:tcPr>
            <w:tcW w:type="dxa" w:w="2484"/>
          </w:tcPr>
          <w:p>
            <w:pPr>
              <w:spacing w:after="0" w:line="252" w:lineRule="auto"/>
            </w:pPr>
            <w:r/>
            <w:r>
              <w:rPr>
                <w:rFonts w:ascii="Calibri" w:hAnsi="Calibri"/>
                <w:b w:val="0"/>
                <w:color w:val="000000"/>
                <w:sz w:val="18"/>
              </w:rPr>
              <w:t>Dashboard and analyst consumption.</w:t>
            </w:r>
          </w:p>
        </w:tc>
      </w:tr>
    </w:tbl>
    <w:p>
      <w:pPr>
        <w:spacing w:after="20"/>
      </w:pPr>
    </w:p>
    <w:p>
      <w:pPr>
        <w:pStyle w:val="Heading1"/>
      </w:pPr>
      <w:r>
        <w:t>17. Repository Structure</w:t>
      </w:r>
    </w:p>
    <w:p>
      <w:pPr>
        <w:spacing w:before="100" w:after="160"/>
        <w:ind w:left="288" w:right="288"/>
        <w:shd w:fill="F3F6FA"/>
      </w:pPr>
      <w:r>
        <w:rPr>
          <w:rFonts w:ascii="Consolas" w:hAnsi="Consolas"/>
          <w:color w:val="0B2545"/>
          <w:sz w:val="19"/>
        </w:rPr>
        <w:t>fraud-detection-pipeline/</w:t>
        <w:br/>
        <w:t xml:space="preserve">  databricks/bronze/                 # SQL incremental ingestion notebook</w:t>
        <w:br/>
        <w:t xml:space="preserve">  databricks/silver/                 # SQL transformation notebook</w:t>
        <w:br/>
        <w:t xml:space="preserve">  databricks/validations/            # Bronze/Silver validation notebooks</w:t>
        <w:br/>
        <w:t xml:space="preserve">  snowflake/                          # RAW/Gold/procedure SQL and Streamlit app</w:t>
        <w:br/>
        <w:t xml:space="preserve">  orchestration/dagster_creditfraud/  # Dagster definitions, sensor, jobs, resources</w:t>
        <w:br/>
        <w:t xml:space="preserve">  docs/                               # data model, testing evidence, AI usage</w:t>
        <w:br/>
        <w:t xml:space="preserve">  diagrams/                           # architecture SVG/PNG</w:t>
        <w:br/>
        <w:t xml:space="preserve">  README.md</w:t>
      </w:r>
    </w:p>
    <w:p>
      <w:pPr>
        <w:pStyle w:val="Heading1"/>
      </w:pPr>
      <w:r>
        <w:t>18. Final Deliverables Checklist</w:t>
      </w:r>
    </w:p>
    <w:tbl>
      <w:tblPr>
        <w:tblStyle w:val="TableGrid"/>
        <w:tblW w:type="dxa" w:w="9120"/>
        <w:tblLayout w:type="fixed"/>
        <w:tblLook w:firstColumn="1" w:firstRow="1" w:lastColumn="0" w:lastRow="0" w:noHBand="0" w:noVBand="1" w:val="04A0"/>
        <w:jc w:val="left"/>
        <w:tblBorders>
          <w:top w:val="single" w:sz="6" w:space="0" w:color="C7D1DE"/>
          <w:left w:val="single" w:sz="6" w:space="0" w:color="C7D1DE"/>
          <w:bottom w:val="single" w:sz="6" w:space="0" w:color="C7D1DE"/>
          <w:right w:val="single" w:sz="6" w:space="0" w:color="C7D1DE"/>
          <w:insideH w:val="single" w:sz="6" w:space="0" w:color="C7D1DE"/>
          <w:insideV w:val="single" w:sz="6" w:space="0" w:color="C7D1DE"/>
        </w:tblBorders>
        <w:tblInd w:w="120" w:type="dxa"/>
      </w:tblPr>
      <w:tblGrid>
        <w:gridCol w:w="4968"/>
        <w:gridCol w:w="4968"/>
      </w:tblGrid>
      <w:tr>
        <w:trPr>
          <w:tblHeader w:val="true"/>
        </w:trPr>
        <w:tc>
          <w:tcPr>
            <w:tcW w:type="dxa" w:w="2900"/>
            <w:tcMar>
              <w:top w:w="80" w:type="dxa"/>
              <w:start w:w="120" w:type="dxa"/>
              <w:bottom w:w="80" w:type="dxa"/>
              <w:end w:w="120" w:type="dxa"/>
            </w:tcMar>
            <w:vAlign w:val="center"/>
            <w:shd w:fill="E8EEF5"/>
          </w:tcPr>
          <w:p>
            <w:pPr>
              <w:spacing w:after="0" w:line="252" w:lineRule="auto"/>
            </w:pPr>
            <w:r/>
            <w:r>
              <w:rPr>
                <w:rFonts w:ascii="Calibri" w:hAnsi="Calibri"/>
                <w:b/>
                <w:color w:val="0B2545"/>
                <w:sz w:val="18"/>
              </w:rPr>
              <w:t>Deliverable</w:t>
            </w:r>
          </w:p>
        </w:tc>
        <w:tc>
          <w:tcPr>
            <w:tcW w:type="dxa" w:w="6220"/>
            <w:tcMar>
              <w:top w:w="80" w:type="dxa"/>
              <w:start w:w="120" w:type="dxa"/>
              <w:bottom w:w="80" w:type="dxa"/>
              <w:end w:w="120" w:type="dxa"/>
            </w:tcMar>
            <w:vAlign w:val="center"/>
            <w:shd w:fill="E8EEF5"/>
          </w:tcPr>
          <w:p>
            <w:pPr>
              <w:spacing w:after="0" w:line="252" w:lineRule="auto"/>
            </w:pPr>
            <w:r/>
            <w:r>
              <w:rPr>
                <w:rFonts w:ascii="Calibri" w:hAnsi="Calibri"/>
                <w:b/>
                <w:color w:val="0B2545"/>
                <w:sz w:val="18"/>
              </w:rPr>
              <w:t>Status / final action</w:t>
            </w:r>
          </w:p>
        </w:tc>
      </w:tr>
      <w:tr>
        <w:tc>
          <w:tcPr>
            <w:tcW w:type="dxa" w:w="4968"/>
          </w:tcPr>
          <w:p>
            <w:pPr>
              <w:spacing w:after="0" w:line="252" w:lineRule="auto"/>
            </w:pPr>
            <w:r/>
            <w:r>
              <w:rPr>
                <w:rFonts w:ascii="Calibri" w:hAnsi="Calibri"/>
                <w:b w:val="0"/>
                <w:color w:val="000000"/>
                <w:sz w:val="18"/>
              </w:rPr>
              <w:t>Working pipeline</w:t>
            </w:r>
          </w:p>
        </w:tc>
        <w:tc>
          <w:tcPr>
            <w:tcW w:type="dxa" w:w="4968"/>
          </w:tcPr>
          <w:p>
            <w:pPr>
              <w:spacing w:after="0" w:line="252" w:lineRule="auto"/>
            </w:pPr>
            <w:r/>
            <w:r>
              <w:rPr>
                <w:rFonts w:ascii="Calibri" w:hAnsi="Calibri"/>
                <w:b w:val="0"/>
                <w:color w:val="000000"/>
                <w:sz w:val="18"/>
              </w:rPr>
              <w:t>Core path implemented. Re-run a controlled end-to-end input after final notebook/schema changes.</w:t>
            </w:r>
          </w:p>
        </w:tc>
      </w:tr>
      <w:tr>
        <w:tc>
          <w:tcPr>
            <w:tcW w:type="dxa" w:w="4968"/>
          </w:tcPr>
          <w:p>
            <w:pPr>
              <w:spacing w:after="0" w:line="252" w:lineRule="auto"/>
            </w:pPr>
            <w:r/>
            <w:r>
              <w:rPr>
                <w:rFonts w:ascii="Calibri" w:hAnsi="Calibri"/>
                <w:b w:val="0"/>
                <w:color w:val="000000"/>
                <w:sz w:val="18"/>
              </w:rPr>
              <w:t>Git repository and README</w:t>
            </w:r>
          </w:p>
        </w:tc>
        <w:tc>
          <w:tcPr>
            <w:tcW w:type="dxa" w:w="4968"/>
          </w:tcPr>
          <w:p>
            <w:pPr>
              <w:spacing w:after="0" w:line="252" w:lineRule="auto"/>
            </w:pPr>
            <w:r/>
            <w:r>
              <w:rPr>
                <w:rFonts w:ascii="Calibri" w:hAnsi="Calibri"/>
                <w:b w:val="0"/>
                <w:color w:val="000000"/>
                <w:sz w:val="18"/>
              </w:rPr>
              <w:t>Ensure all notebooks/SQL, diagrams, setup instructions, and .gitignore are committed; exclude secrets.</w:t>
            </w:r>
          </w:p>
        </w:tc>
      </w:tr>
      <w:tr>
        <w:tc>
          <w:tcPr>
            <w:tcW w:type="dxa" w:w="4968"/>
          </w:tcPr>
          <w:p>
            <w:pPr>
              <w:spacing w:after="0" w:line="252" w:lineRule="auto"/>
            </w:pPr>
            <w:r/>
            <w:r>
              <w:rPr>
                <w:rFonts w:ascii="Calibri" w:hAnsi="Calibri"/>
                <w:b w:val="0"/>
                <w:color w:val="000000"/>
                <w:sz w:val="18"/>
              </w:rPr>
              <w:t>Data model documentation</w:t>
            </w:r>
          </w:p>
        </w:tc>
        <w:tc>
          <w:tcPr>
            <w:tcW w:type="dxa" w:w="4968"/>
          </w:tcPr>
          <w:p>
            <w:pPr>
              <w:spacing w:after="0" w:line="252" w:lineRule="auto"/>
            </w:pPr>
            <w:r/>
            <w:r>
              <w:rPr>
                <w:rFonts w:ascii="Calibri" w:hAnsi="Calibri"/>
                <w:b w:val="0"/>
                <w:color w:val="000000"/>
                <w:sz w:val="18"/>
              </w:rPr>
              <w:t>Use Section 16 plus column-level reference in docs/data-model.</w:t>
            </w:r>
          </w:p>
        </w:tc>
      </w:tr>
      <w:tr>
        <w:tc>
          <w:tcPr>
            <w:tcW w:type="dxa" w:w="4968"/>
          </w:tcPr>
          <w:p>
            <w:pPr>
              <w:spacing w:after="0" w:line="252" w:lineRule="auto"/>
            </w:pPr>
            <w:r/>
            <w:r>
              <w:rPr>
                <w:rFonts w:ascii="Calibri" w:hAnsi="Calibri"/>
                <w:b w:val="0"/>
                <w:color w:val="000000"/>
                <w:sz w:val="18"/>
              </w:rPr>
              <w:t>Test cases and results</w:t>
            </w:r>
          </w:p>
        </w:tc>
        <w:tc>
          <w:tcPr>
            <w:tcW w:type="dxa" w:w="4968"/>
          </w:tcPr>
          <w:p>
            <w:pPr>
              <w:spacing w:after="0" w:line="252" w:lineRule="auto"/>
            </w:pPr>
            <w:r/>
            <w:r>
              <w:rPr>
                <w:rFonts w:ascii="Calibri" w:hAnsi="Calibri"/>
                <w:b w:val="0"/>
                <w:color w:val="000000"/>
                <w:sz w:val="18"/>
              </w:rPr>
              <w:t>Capture validations and controlled success/duplicate/failure scenarios.</w:t>
            </w:r>
          </w:p>
        </w:tc>
      </w:tr>
      <w:tr>
        <w:tc>
          <w:tcPr>
            <w:tcW w:type="dxa" w:w="4968"/>
          </w:tcPr>
          <w:p>
            <w:pPr>
              <w:spacing w:after="0" w:line="252" w:lineRule="auto"/>
            </w:pPr>
            <w:r/>
            <w:r>
              <w:rPr>
                <w:rFonts w:ascii="Calibri" w:hAnsi="Calibri"/>
                <w:b w:val="0"/>
                <w:color w:val="000000"/>
                <w:sz w:val="18"/>
              </w:rPr>
              <w:t>Architecture diagram</w:t>
            </w:r>
          </w:p>
        </w:tc>
        <w:tc>
          <w:tcPr>
            <w:tcW w:type="dxa" w:w="4968"/>
          </w:tcPr>
          <w:p>
            <w:pPr>
              <w:spacing w:after="0" w:line="252" w:lineRule="auto"/>
            </w:pPr>
            <w:r/>
            <w:r>
              <w:rPr>
                <w:rFonts w:ascii="Calibri" w:hAnsi="Calibri"/>
                <w:b w:val="0"/>
                <w:color w:val="000000"/>
                <w:sz w:val="18"/>
              </w:rPr>
              <w:t>Use diagrams/final_fraud_detection_architecture_v2.svg and export PNG for presentation.</w:t>
            </w:r>
          </w:p>
        </w:tc>
      </w:tr>
      <w:tr>
        <w:tc>
          <w:tcPr>
            <w:tcW w:type="dxa" w:w="4968"/>
          </w:tcPr>
          <w:p>
            <w:pPr>
              <w:spacing w:after="0" w:line="252" w:lineRule="auto"/>
            </w:pPr>
            <w:r/>
            <w:r>
              <w:rPr>
                <w:rFonts w:ascii="Calibri" w:hAnsi="Calibri"/>
                <w:b w:val="0"/>
                <w:color w:val="000000"/>
                <w:sz w:val="18"/>
              </w:rPr>
              <w:t>Presentation deck and live demo</w:t>
            </w:r>
          </w:p>
        </w:tc>
        <w:tc>
          <w:tcPr>
            <w:tcW w:type="dxa" w:w="4968"/>
          </w:tcPr>
          <w:p>
            <w:pPr>
              <w:spacing w:after="0" w:line="252" w:lineRule="auto"/>
            </w:pPr>
            <w:r/>
            <w:r>
              <w:rPr>
                <w:rFonts w:ascii="Calibri" w:hAnsi="Calibri"/>
                <w:b w:val="0"/>
                <w:color w:val="000000"/>
                <w:sz w:val="18"/>
              </w:rPr>
              <w:t>Use Section 19 runbook and assign each team member a responsibility.</w:t>
            </w:r>
          </w:p>
        </w:tc>
      </w:tr>
      <w:tr>
        <w:tc>
          <w:tcPr>
            <w:tcW w:type="dxa" w:w="4968"/>
          </w:tcPr>
          <w:p>
            <w:pPr>
              <w:spacing w:after="0" w:line="252" w:lineRule="auto"/>
            </w:pPr>
            <w:r/>
            <w:r>
              <w:rPr>
                <w:rFonts w:ascii="Calibri" w:hAnsi="Calibri"/>
                <w:b w:val="0"/>
                <w:color w:val="000000"/>
                <w:sz w:val="18"/>
              </w:rPr>
              <w:t>AI tool usage write-up</w:t>
            </w:r>
          </w:p>
        </w:tc>
        <w:tc>
          <w:tcPr>
            <w:tcW w:type="dxa" w:w="4968"/>
          </w:tcPr>
          <w:p>
            <w:pPr>
              <w:spacing w:after="0" w:line="252" w:lineRule="auto"/>
            </w:pPr>
            <w:r/>
            <w:r>
              <w:rPr>
                <w:rFonts w:ascii="Calibri" w:hAnsi="Calibri"/>
                <w:b w:val="0"/>
                <w:color w:val="000000"/>
                <w:sz w:val="18"/>
              </w:rPr>
              <w:t>State how AI assisted documentation, troubleshooting, design, or code review; keep human validation explicit.</w:t>
            </w:r>
          </w:p>
        </w:tc>
      </w:tr>
      <w:tr>
        <w:tc>
          <w:tcPr>
            <w:tcW w:type="dxa" w:w="4968"/>
          </w:tcPr>
          <w:p>
            <w:pPr>
              <w:spacing w:after="0" w:line="252" w:lineRule="auto"/>
            </w:pPr>
            <w:r/>
            <w:r>
              <w:rPr>
                <w:rFonts w:ascii="Calibri" w:hAnsi="Calibri"/>
                <w:b w:val="0"/>
                <w:color w:val="000000"/>
                <w:sz w:val="18"/>
              </w:rPr>
              <w:t>Optional bonus website</w:t>
            </w:r>
          </w:p>
        </w:tc>
        <w:tc>
          <w:tcPr>
            <w:tcW w:type="dxa" w:w="4968"/>
          </w:tcPr>
          <w:p>
            <w:pPr>
              <w:spacing w:after="0" w:line="252" w:lineRule="auto"/>
            </w:pPr>
            <w:r/>
            <w:r>
              <w:rPr>
                <w:rFonts w:ascii="Calibri" w:hAnsi="Calibri"/>
                <w:b w:val="0"/>
                <w:color w:val="000000"/>
                <w:sz w:val="18"/>
              </w:rPr>
              <w:t>Only begin once core evidence and documentation are complete.</w:t>
            </w:r>
          </w:p>
        </w:tc>
      </w:tr>
    </w:tbl>
    <w:p>
      <w:pPr>
        <w:spacing w:after="20"/>
      </w:pPr>
    </w:p>
    <w:p>
      <w:pPr>
        <w:pStyle w:val="Heading1"/>
      </w:pPr>
      <w:r>
        <w:t>19. Recommended Live Demo Flow</w:t>
      </w:r>
    </w:p>
    <w:p>
      <w:pPr>
        <w:pStyle w:val="ListNumber"/>
        <w:spacing w:after="60" w:line="276" w:lineRule="auto"/>
        <w:ind w:left="403" w:hanging="288"/>
      </w:pPr>
      <w:r>
        <w:t>Show S3 prefixes: landing, archive, reject/duplicates, and reject/validation_failed.</w:t>
      </w:r>
    </w:p>
    <w:p>
      <w:pPr>
        <w:pStyle w:val="ListNumber"/>
        <w:spacing w:after="60" w:line="276" w:lineRule="auto"/>
        <w:ind w:left="403" w:hanging="288"/>
      </w:pPr>
      <w:r>
        <w:t>Show a selected source file and explain the input fields (Time, V1–V28, Amount, Class) and data limitations.</w:t>
      </w:r>
    </w:p>
    <w:p>
      <w:pPr>
        <w:pStyle w:val="ListNumber"/>
        <w:spacing w:after="60" w:line="276" w:lineRule="auto"/>
        <w:ind w:left="403" w:hanging="288"/>
      </w:pPr>
      <w:r>
        <w:t>Show Dagster lineage and the ordered pipeline run: Bronze, Silver, Snowflake load/validation, Gold refresh, archive.</w:t>
      </w:r>
    </w:p>
    <w:p>
      <w:pPr>
        <w:pStyle w:val="ListNumber"/>
        <w:spacing w:after="60" w:line="276" w:lineRule="auto"/>
        <w:ind w:left="403" w:hanging="288"/>
      </w:pPr>
      <w:r>
        <w:t>Open processed_files and silver_processed_batches to demonstrate batch IDs, source lineage, timestamps, and counts.</w:t>
      </w:r>
    </w:p>
    <w:p>
      <w:pPr>
        <w:pStyle w:val="ListNumber"/>
        <w:spacing w:after="60" w:line="276" w:lineRule="auto"/>
        <w:ind w:left="403" w:hanging="288"/>
      </w:pPr>
      <w:r>
        <w:t>Run the separate Bronze and Silver validation notebooks for the selected batch ID.</w:t>
      </w:r>
    </w:p>
    <w:p>
      <w:pPr>
        <w:pStyle w:val="ListNumber"/>
        <w:spacing w:after="60" w:line="276" w:lineRule="auto"/>
        <w:ind w:left="403" w:hanging="288"/>
      </w:pPr>
      <w:r>
        <w:t>Show Snowflake RAW count by batch ID, then show Gold object counts and the analyst queue.</w:t>
      </w:r>
    </w:p>
    <w:p>
      <w:pPr>
        <w:pStyle w:val="ListNumber"/>
        <w:spacing w:after="60" w:line="276" w:lineRule="auto"/>
        <w:ind w:left="403" w:hanging="288"/>
      </w:pPr>
      <w:r>
        <w:t>Open the Streamlit dashboard; demonstrate KPI cards, filters, range selection, review queue, clear filters, and download.</w:t>
      </w:r>
    </w:p>
    <w:p>
      <w:pPr>
        <w:pStyle w:val="ListNumber"/>
        <w:spacing w:after="60" w:line="276" w:lineRule="auto"/>
        <w:ind w:left="403" w:hanging="288"/>
      </w:pPr>
      <w:r>
        <w:t>Show the duplicate-file proof: same content/different file name is rejected by SHA-256 rather than loaded twice.</w:t>
      </w:r>
    </w:p>
    <w:p>
      <w:pPr>
        <w:pStyle w:val="ListNumber"/>
        <w:spacing w:after="60" w:line="276" w:lineRule="auto"/>
        <w:ind w:left="403" w:hanging="288"/>
      </w:pPr>
      <w:r>
        <w:t>Conclude with archive evidence and explain that review priority is analyst triage, not a fraud conclusion.</w:t>
      </w:r>
    </w:p>
    <w:p>
      <w:pPr>
        <w:pStyle w:val="Heading1"/>
      </w:pPr>
      <w:r>
        <w:t>20. Optional Bonus: Natural-Language Query Website</w:t>
      </w:r>
    </w:p>
    <w:p>
      <w:r>
        <w:t>The optional extra-credit extension is a website where a user asks a business question in plain English. The website converts it to safe, read-only SQL and returns results from an approved platform. It must not receive broad account access or arbitrary SQL permissions.</w:t>
      </w:r>
    </w:p>
    <w:tbl>
      <w:tblPr>
        <w:tblStyle w:val="TableGrid"/>
        <w:tblW w:type="dxa" w:w="9120"/>
        <w:tblLayout w:type="fixed"/>
        <w:tblLook w:firstColumn="1" w:firstRow="1" w:lastColumn="0" w:lastRow="0" w:noHBand="0" w:noVBand="1" w:val="04A0"/>
        <w:jc w:val="left"/>
        <w:tblBorders>
          <w:top w:val="single" w:sz="6" w:space="0" w:color="C7D1DE"/>
          <w:left w:val="single" w:sz="6" w:space="0" w:color="C7D1DE"/>
          <w:bottom w:val="single" w:sz="6" w:space="0" w:color="C7D1DE"/>
          <w:right w:val="single" w:sz="6" w:space="0" w:color="C7D1DE"/>
          <w:insideH w:val="single" w:sz="6" w:space="0" w:color="C7D1DE"/>
          <w:insideV w:val="single" w:sz="6" w:space="0" w:color="C7D1DE"/>
        </w:tblBorders>
        <w:tblInd w:w="120" w:type="dxa"/>
      </w:tblPr>
      <w:tblGrid>
        <w:gridCol w:w="4968"/>
        <w:gridCol w:w="4968"/>
      </w:tblGrid>
      <w:tr>
        <w:trPr>
          <w:tblHeader w:val="true"/>
        </w:trPr>
        <w:tc>
          <w:tcPr>
            <w:tcW w:type="dxa" w:w="2500"/>
            <w:tcMar>
              <w:top w:w="80" w:type="dxa"/>
              <w:start w:w="120" w:type="dxa"/>
              <w:bottom w:w="80" w:type="dxa"/>
              <w:end w:w="120" w:type="dxa"/>
            </w:tcMar>
            <w:vAlign w:val="center"/>
            <w:shd w:fill="E8EEF5"/>
          </w:tcPr>
          <w:p>
            <w:pPr>
              <w:spacing w:after="0" w:line="252" w:lineRule="auto"/>
            </w:pPr>
            <w:r/>
            <w:r>
              <w:rPr>
                <w:rFonts w:ascii="Calibri" w:hAnsi="Calibri"/>
                <w:b/>
                <w:color w:val="0B2545"/>
                <w:sz w:val="18"/>
              </w:rPr>
              <w:t>Design rule</w:t>
            </w:r>
          </w:p>
        </w:tc>
        <w:tc>
          <w:tcPr>
            <w:tcW w:type="dxa" w:w="6620"/>
            <w:tcMar>
              <w:top w:w="80" w:type="dxa"/>
              <w:start w:w="120" w:type="dxa"/>
              <w:bottom w:w="80" w:type="dxa"/>
              <w:end w:w="120" w:type="dxa"/>
            </w:tcMar>
            <w:vAlign w:val="center"/>
            <w:shd w:fill="E8EEF5"/>
          </w:tcPr>
          <w:p>
            <w:pPr>
              <w:spacing w:after="0" w:line="252" w:lineRule="auto"/>
            </w:pPr>
            <w:r/>
            <w:r>
              <w:rPr>
                <w:rFonts w:ascii="Calibri" w:hAnsi="Calibri"/>
                <w:b/>
                <w:color w:val="0B2545"/>
                <w:sz w:val="18"/>
              </w:rPr>
              <w:t>Requirement</w:t>
            </w:r>
          </w:p>
        </w:tc>
      </w:tr>
      <w:tr>
        <w:tc>
          <w:tcPr>
            <w:tcW w:type="dxa" w:w="4968"/>
          </w:tcPr>
          <w:p>
            <w:pPr>
              <w:spacing w:after="0" w:line="252" w:lineRule="auto"/>
            </w:pPr>
            <w:r/>
            <w:r>
              <w:rPr>
                <w:rFonts w:ascii="Calibri" w:hAnsi="Calibri"/>
                <w:b w:val="0"/>
                <w:color w:val="000000"/>
                <w:sz w:val="18"/>
              </w:rPr>
              <w:t>Data scope</w:t>
            </w:r>
          </w:p>
        </w:tc>
        <w:tc>
          <w:tcPr>
            <w:tcW w:type="dxa" w:w="4968"/>
          </w:tcPr>
          <w:p>
            <w:pPr>
              <w:spacing w:after="0" w:line="252" w:lineRule="auto"/>
            </w:pPr>
            <w:r/>
            <w:r>
              <w:rPr>
                <w:rFonts w:ascii="Calibri" w:hAnsi="Calibri"/>
                <w:b w:val="0"/>
                <w:color w:val="000000"/>
                <w:sz w:val="18"/>
              </w:rPr>
              <w:t>Allowlist only curated Snowflake Gold tables and ANALYST_REVIEW_QUEUE, or approved Databricks curated data.</w:t>
            </w:r>
          </w:p>
        </w:tc>
      </w:tr>
      <w:tr>
        <w:tc>
          <w:tcPr>
            <w:tcW w:type="dxa" w:w="4968"/>
          </w:tcPr>
          <w:p>
            <w:pPr>
              <w:spacing w:after="0" w:line="252" w:lineRule="auto"/>
            </w:pPr>
            <w:r/>
            <w:r>
              <w:rPr>
                <w:rFonts w:ascii="Calibri" w:hAnsi="Calibri"/>
                <w:b w:val="0"/>
                <w:color w:val="000000"/>
                <w:sz w:val="18"/>
              </w:rPr>
              <w:t>SQL safety</w:t>
            </w:r>
          </w:p>
        </w:tc>
        <w:tc>
          <w:tcPr>
            <w:tcW w:type="dxa" w:w="4968"/>
          </w:tcPr>
          <w:p>
            <w:pPr>
              <w:spacing w:after="0" w:line="252" w:lineRule="auto"/>
            </w:pPr>
            <w:r/>
            <w:r>
              <w:rPr>
                <w:rFonts w:ascii="Calibri" w:hAnsi="Calibri"/>
                <w:b w:val="0"/>
                <w:color w:val="000000"/>
                <w:sz w:val="18"/>
              </w:rPr>
              <w:t>Only SELECT; block DDL/DML, multiple statements, metadata access, and unrestricted table names.</w:t>
            </w:r>
          </w:p>
        </w:tc>
      </w:tr>
      <w:tr>
        <w:tc>
          <w:tcPr>
            <w:tcW w:type="dxa" w:w="4968"/>
          </w:tcPr>
          <w:p>
            <w:pPr>
              <w:spacing w:after="0" w:line="252" w:lineRule="auto"/>
            </w:pPr>
            <w:r/>
            <w:r>
              <w:rPr>
                <w:rFonts w:ascii="Calibri" w:hAnsi="Calibri"/>
                <w:b w:val="0"/>
                <w:color w:val="000000"/>
                <w:sz w:val="18"/>
              </w:rPr>
              <w:t>Cost/abuse control</w:t>
            </w:r>
          </w:p>
        </w:tc>
        <w:tc>
          <w:tcPr>
            <w:tcW w:type="dxa" w:w="4968"/>
          </w:tcPr>
          <w:p>
            <w:pPr>
              <w:spacing w:after="0" w:line="252" w:lineRule="auto"/>
            </w:pPr>
            <w:r/>
            <w:r>
              <w:rPr>
                <w:rFonts w:ascii="Calibri" w:hAnsi="Calibri"/>
                <w:b w:val="0"/>
                <w:color w:val="000000"/>
                <w:sz w:val="18"/>
              </w:rPr>
              <w:t>Limit rows, apply statement timeouts, log prompts and generated SQL, and require a user review step.</w:t>
            </w:r>
          </w:p>
        </w:tc>
      </w:tr>
      <w:tr>
        <w:tc>
          <w:tcPr>
            <w:tcW w:type="dxa" w:w="4968"/>
          </w:tcPr>
          <w:p>
            <w:pPr>
              <w:spacing w:after="0" w:line="252" w:lineRule="auto"/>
            </w:pPr>
            <w:r/>
            <w:r>
              <w:rPr>
                <w:rFonts w:ascii="Calibri" w:hAnsi="Calibri"/>
                <w:b w:val="0"/>
                <w:color w:val="000000"/>
                <w:sz w:val="18"/>
              </w:rPr>
              <w:t>Secrets</w:t>
            </w:r>
          </w:p>
        </w:tc>
        <w:tc>
          <w:tcPr>
            <w:tcW w:type="dxa" w:w="4968"/>
          </w:tcPr>
          <w:p>
            <w:pPr>
              <w:spacing w:after="0" w:line="252" w:lineRule="auto"/>
            </w:pPr>
            <w:r/>
            <w:r>
              <w:rPr>
                <w:rFonts w:ascii="Calibri" w:hAnsi="Calibri"/>
                <w:b w:val="0"/>
                <w:color w:val="000000"/>
                <w:sz w:val="18"/>
              </w:rPr>
              <w:t>Keep credentials on the server side; never ship them to browser code or a public repository.</w:t>
            </w:r>
          </w:p>
        </w:tc>
      </w:tr>
      <w:tr>
        <w:tc>
          <w:tcPr>
            <w:tcW w:type="dxa" w:w="4968"/>
          </w:tcPr>
          <w:p>
            <w:pPr>
              <w:spacing w:after="0" w:line="252" w:lineRule="auto"/>
            </w:pPr>
            <w:r/>
            <w:r>
              <w:rPr>
                <w:rFonts w:ascii="Calibri" w:hAnsi="Calibri"/>
                <w:b w:val="0"/>
                <w:color w:val="000000"/>
                <w:sz w:val="18"/>
              </w:rPr>
              <w:t>Disclosure</w:t>
            </w:r>
          </w:p>
        </w:tc>
        <w:tc>
          <w:tcPr>
            <w:tcW w:type="dxa" w:w="4968"/>
          </w:tcPr>
          <w:p>
            <w:pPr>
              <w:spacing w:after="0" w:line="252" w:lineRule="auto"/>
            </w:pPr>
            <w:r/>
            <w:r>
              <w:rPr>
                <w:rFonts w:ascii="Calibri" w:hAnsi="Calibri"/>
                <w:b w:val="0"/>
                <w:color w:val="000000"/>
                <w:sz w:val="18"/>
              </w:rPr>
              <w:t>Make clear that review-priority answers are not confirmed fraud decisions.</w:t>
            </w:r>
          </w:p>
        </w:tc>
      </w:tr>
    </w:tbl>
    <w:p>
      <w:pPr>
        <w:spacing w:after="20"/>
      </w:pPr>
    </w:p>
    <w:p>
      <w:pPr>
        <w:pStyle w:val="Heading1"/>
      </w:pPr>
      <w:r>
        <w:t>21. Current Finalisation Priorities</w:t>
      </w:r>
    </w:p>
    <w:p>
      <w:pPr>
        <w:pStyle w:val="ListBullet"/>
        <w:spacing w:after="60" w:line="276" w:lineRule="auto"/>
        <w:ind w:left="360" w:hanging="259"/>
      </w:pPr>
      <w:r>
        <w:t>Keep the final Bronze notebook raw-preserving (no SELECT DISTINCT) and use Silver for exact-duplicate removal only.</w:t>
      </w:r>
    </w:p>
    <w:p>
      <w:pPr>
        <w:pStyle w:val="ListBullet"/>
        <w:spacing w:after="60" w:line="276" w:lineRule="auto"/>
        <w:ind w:left="360" w:hanging="259"/>
      </w:pPr>
      <w:r>
        <w:t>Ensure the final Snowflake Gold procedure matches the current final Silver field names, especially review_score and review_priority.</w:t>
      </w:r>
    </w:p>
    <w:p>
      <w:pPr>
        <w:pStyle w:val="ListBullet"/>
        <w:spacing w:after="60" w:line="276" w:lineRule="auto"/>
        <w:ind w:left="360" w:hanging="259"/>
      </w:pPr>
      <w:r>
        <w:t>Complete and capture the controlled validation-failure route to reject/validation_failed/.</w:t>
      </w:r>
    </w:p>
    <w:p>
      <w:pPr>
        <w:pStyle w:val="ListBullet"/>
        <w:spacing w:after="60" w:line="276" w:lineRule="auto"/>
        <w:ind w:left="360" w:hanging="259"/>
      </w:pPr>
      <w:r>
        <w:t>Run one final fresh, unique test file through the entire orchestration after code changes; capture each layer’s evidence.</w:t>
      </w:r>
    </w:p>
    <w:p>
      <w:pPr>
        <w:pStyle w:val="ListBullet"/>
        <w:spacing w:after="60" w:line="276" w:lineRule="auto"/>
        <w:ind w:left="360" w:hanging="259"/>
      </w:pPr>
      <w:r>
        <w:t>Export final architecture PNG, README, data model, test report, deck, and AI-usage note before submission.</w:t>
      </w:r>
    </w:p>
    <w:p>
      <w:pPr>
        <w:pStyle w:val="Heading1"/>
      </w:pPr>
      <w:r>
        <w:t>Appendix A — Terminology</w:t>
      </w:r>
    </w:p>
    <w:tbl>
      <w:tblPr>
        <w:tblStyle w:val="TableGrid"/>
        <w:tblW w:type="dxa" w:w="9120"/>
        <w:tblLayout w:type="fixed"/>
        <w:tblLook w:firstColumn="1" w:firstRow="1" w:lastColumn="0" w:lastRow="0" w:noHBand="0" w:noVBand="1" w:val="04A0"/>
        <w:jc w:val="left"/>
        <w:tblBorders>
          <w:top w:val="single" w:sz="6" w:space="0" w:color="C7D1DE"/>
          <w:left w:val="single" w:sz="6" w:space="0" w:color="C7D1DE"/>
          <w:bottom w:val="single" w:sz="6" w:space="0" w:color="C7D1DE"/>
          <w:right w:val="single" w:sz="6" w:space="0" w:color="C7D1DE"/>
          <w:insideH w:val="single" w:sz="6" w:space="0" w:color="C7D1DE"/>
          <w:insideV w:val="single" w:sz="6" w:space="0" w:color="C7D1DE"/>
        </w:tblBorders>
        <w:tblInd w:w="120" w:type="dxa"/>
      </w:tblPr>
      <w:tblGrid>
        <w:gridCol w:w="4968"/>
        <w:gridCol w:w="4968"/>
      </w:tblGrid>
      <w:tr>
        <w:trPr>
          <w:tblHeader w:val="true"/>
        </w:trPr>
        <w:tc>
          <w:tcPr>
            <w:tcW w:type="dxa" w:w="2400"/>
            <w:tcMar>
              <w:top w:w="80" w:type="dxa"/>
              <w:start w:w="120" w:type="dxa"/>
              <w:bottom w:w="80" w:type="dxa"/>
              <w:end w:w="120" w:type="dxa"/>
            </w:tcMar>
            <w:vAlign w:val="center"/>
            <w:shd w:fill="E8EEF5"/>
          </w:tcPr>
          <w:p>
            <w:pPr>
              <w:spacing w:after="0" w:line="252" w:lineRule="auto"/>
            </w:pPr>
            <w:r/>
            <w:r>
              <w:rPr>
                <w:rFonts w:ascii="Calibri" w:hAnsi="Calibri"/>
                <w:b/>
                <w:color w:val="0B2545"/>
                <w:sz w:val="18"/>
              </w:rPr>
              <w:t>Term</w:t>
            </w:r>
          </w:p>
        </w:tc>
        <w:tc>
          <w:tcPr>
            <w:tcW w:type="dxa" w:w="6720"/>
            <w:tcMar>
              <w:top w:w="80" w:type="dxa"/>
              <w:start w:w="120" w:type="dxa"/>
              <w:bottom w:w="80" w:type="dxa"/>
              <w:end w:w="120" w:type="dxa"/>
            </w:tcMar>
            <w:vAlign w:val="center"/>
            <w:shd w:fill="E8EEF5"/>
          </w:tcPr>
          <w:p>
            <w:pPr>
              <w:spacing w:after="0" w:line="252" w:lineRule="auto"/>
            </w:pPr>
            <w:r/>
            <w:r>
              <w:rPr>
                <w:rFonts w:ascii="Calibri" w:hAnsi="Calibri"/>
                <w:b/>
                <w:color w:val="0B2545"/>
                <w:sz w:val="18"/>
              </w:rPr>
              <w:t>Meaning in this project</w:t>
            </w:r>
          </w:p>
        </w:tc>
      </w:tr>
      <w:tr>
        <w:tc>
          <w:tcPr>
            <w:tcW w:type="dxa" w:w="4968"/>
          </w:tcPr>
          <w:p>
            <w:pPr>
              <w:spacing w:after="0" w:line="252" w:lineRule="auto"/>
            </w:pPr>
            <w:r/>
            <w:r>
              <w:rPr>
                <w:rFonts w:ascii="Calibri" w:hAnsi="Calibri"/>
                <w:b w:val="0"/>
                <w:color w:val="000000"/>
                <w:sz w:val="18"/>
              </w:rPr>
              <w:t>Bronze</w:t>
            </w:r>
          </w:p>
        </w:tc>
        <w:tc>
          <w:tcPr>
            <w:tcW w:type="dxa" w:w="4968"/>
          </w:tcPr>
          <w:p>
            <w:pPr>
              <w:spacing w:after="0" w:line="252" w:lineRule="auto"/>
            </w:pPr>
            <w:r/>
            <w:r>
              <w:rPr>
                <w:rFonts w:ascii="Calibri" w:hAnsi="Calibri"/>
                <w:b w:val="0"/>
                <w:color w:val="000000"/>
                <w:sz w:val="18"/>
              </w:rPr>
              <w:t>Raw source data plus ingestion metadata; source rows are not altered.</w:t>
            </w:r>
          </w:p>
        </w:tc>
      </w:tr>
      <w:tr>
        <w:tc>
          <w:tcPr>
            <w:tcW w:type="dxa" w:w="4968"/>
          </w:tcPr>
          <w:p>
            <w:pPr>
              <w:spacing w:after="0" w:line="252" w:lineRule="auto"/>
            </w:pPr>
            <w:r/>
            <w:r>
              <w:rPr>
                <w:rFonts w:ascii="Calibri" w:hAnsi="Calibri"/>
                <w:b w:val="0"/>
                <w:color w:val="000000"/>
                <w:sz w:val="18"/>
              </w:rPr>
              <w:t>Silver</w:t>
            </w:r>
          </w:p>
        </w:tc>
        <w:tc>
          <w:tcPr>
            <w:tcW w:type="dxa" w:w="4968"/>
          </w:tcPr>
          <w:p>
            <w:pPr>
              <w:spacing w:after="0" w:line="252" w:lineRule="auto"/>
            </w:pPr>
            <w:r/>
            <w:r>
              <w:rPr>
                <w:rFonts w:ascii="Calibri" w:hAnsi="Calibri"/>
                <w:b w:val="0"/>
                <w:color w:val="000000"/>
                <w:sz w:val="18"/>
              </w:rPr>
              <w:t>Clean and deduplicated transaction data with documented derived features.</w:t>
            </w:r>
          </w:p>
        </w:tc>
      </w:tr>
      <w:tr>
        <w:tc>
          <w:tcPr>
            <w:tcW w:type="dxa" w:w="4968"/>
          </w:tcPr>
          <w:p>
            <w:pPr>
              <w:spacing w:after="0" w:line="252" w:lineRule="auto"/>
            </w:pPr>
            <w:r/>
            <w:r>
              <w:rPr>
                <w:rFonts w:ascii="Calibri" w:hAnsi="Calibri"/>
                <w:b w:val="0"/>
                <w:color w:val="000000"/>
                <w:sz w:val="18"/>
              </w:rPr>
              <w:t>Gold</w:t>
            </w:r>
          </w:p>
        </w:tc>
        <w:tc>
          <w:tcPr>
            <w:tcW w:type="dxa" w:w="4968"/>
          </w:tcPr>
          <w:p>
            <w:pPr>
              <w:spacing w:after="0" w:line="252" w:lineRule="auto"/>
            </w:pPr>
            <w:r/>
            <w:r>
              <w:rPr>
                <w:rFonts w:ascii="Calibri" w:hAnsi="Calibri"/>
                <w:b w:val="0"/>
                <w:color w:val="000000"/>
                <w:sz w:val="18"/>
              </w:rPr>
              <w:t>Business-facing summaries and a current analyst review view in Snowflake.</w:t>
            </w:r>
          </w:p>
        </w:tc>
      </w:tr>
      <w:tr>
        <w:tc>
          <w:tcPr>
            <w:tcW w:type="dxa" w:w="4968"/>
          </w:tcPr>
          <w:p>
            <w:pPr>
              <w:spacing w:after="0" w:line="252" w:lineRule="auto"/>
            </w:pPr>
            <w:r/>
            <w:r>
              <w:rPr>
                <w:rFonts w:ascii="Calibri" w:hAnsi="Calibri"/>
                <w:b w:val="0"/>
                <w:color w:val="000000"/>
                <w:sz w:val="18"/>
              </w:rPr>
              <w:t>Review priority</w:t>
            </w:r>
          </w:p>
        </w:tc>
        <w:tc>
          <w:tcPr>
            <w:tcW w:type="dxa" w:w="4968"/>
          </w:tcPr>
          <w:p>
            <w:pPr>
              <w:spacing w:after="0" w:line="252" w:lineRule="auto"/>
            </w:pPr>
            <w:r/>
            <w:r>
              <w:rPr>
                <w:rFonts w:ascii="Calibri" w:hAnsi="Calibri"/>
                <w:b w:val="0"/>
                <w:color w:val="000000"/>
                <w:sz w:val="18"/>
              </w:rPr>
              <w:t>High/Medium/Low ordering for analyst attention; not a confirmed fraud label.</w:t>
            </w:r>
          </w:p>
        </w:tc>
      </w:tr>
      <w:tr>
        <w:tc>
          <w:tcPr>
            <w:tcW w:type="dxa" w:w="4968"/>
          </w:tcPr>
          <w:p>
            <w:pPr>
              <w:spacing w:after="0" w:line="252" w:lineRule="auto"/>
            </w:pPr>
            <w:r/>
            <w:r>
              <w:rPr>
                <w:rFonts w:ascii="Calibri" w:hAnsi="Calibri"/>
                <w:b w:val="0"/>
                <w:color w:val="000000"/>
                <w:sz w:val="18"/>
              </w:rPr>
              <w:t>Incremental load</w:t>
            </w:r>
          </w:p>
        </w:tc>
        <w:tc>
          <w:tcPr>
            <w:tcW w:type="dxa" w:w="4968"/>
          </w:tcPr>
          <w:p>
            <w:pPr>
              <w:spacing w:after="0" w:line="252" w:lineRule="auto"/>
            </w:pPr>
            <w:r/>
            <w:r>
              <w:rPr>
                <w:rFonts w:ascii="Calibri" w:hAnsi="Calibri"/>
                <w:b w:val="0"/>
                <w:color w:val="000000"/>
                <w:sz w:val="18"/>
              </w:rPr>
              <w:t>Only a new, unprocessed batch/source is added; repeated content is skipped/rejected.</w:t>
            </w:r>
          </w:p>
        </w:tc>
      </w:tr>
      <w:tr>
        <w:tc>
          <w:tcPr>
            <w:tcW w:type="dxa" w:w="4968"/>
          </w:tcPr>
          <w:p>
            <w:pPr>
              <w:spacing w:after="0" w:line="252" w:lineRule="auto"/>
            </w:pPr>
            <w:r/>
            <w:r>
              <w:rPr>
                <w:rFonts w:ascii="Calibri" w:hAnsi="Calibri"/>
                <w:b w:val="0"/>
                <w:color w:val="000000"/>
                <w:sz w:val="18"/>
              </w:rPr>
              <w:t>Idempotency</w:t>
            </w:r>
          </w:p>
        </w:tc>
        <w:tc>
          <w:tcPr>
            <w:tcW w:type="dxa" w:w="4968"/>
          </w:tcPr>
          <w:p>
            <w:pPr>
              <w:spacing w:after="0" w:line="252" w:lineRule="auto"/>
            </w:pPr>
            <w:r/>
            <w:r>
              <w:rPr>
                <w:rFonts w:ascii="Calibri" w:hAnsi="Calibri"/>
                <w:b w:val="0"/>
                <w:color w:val="000000"/>
                <w:sz w:val="18"/>
              </w:rPr>
              <w:t>Repeating a run does not duplicate downstream data.</w:t>
            </w:r>
          </w:p>
        </w:tc>
      </w:tr>
      <w:tr>
        <w:tc>
          <w:tcPr>
            <w:tcW w:type="dxa" w:w="4968"/>
          </w:tcPr>
          <w:p>
            <w:pPr>
              <w:spacing w:after="0" w:line="252" w:lineRule="auto"/>
            </w:pPr>
            <w:r/>
            <w:r>
              <w:rPr>
                <w:rFonts w:ascii="Calibri" w:hAnsi="Calibri"/>
                <w:b w:val="0"/>
                <w:color w:val="000000"/>
                <w:sz w:val="18"/>
              </w:rPr>
              <w:t>Reconciliation</w:t>
            </w:r>
          </w:p>
        </w:tc>
        <w:tc>
          <w:tcPr>
            <w:tcW w:type="dxa" w:w="4968"/>
          </w:tcPr>
          <w:p>
            <w:pPr>
              <w:spacing w:after="0" w:line="252" w:lineRule="auto"/>
            </w:pPr>
            <w:r/>
            <w:r>
              <w:rPr>
                <w:rFonts w:ascii="Calibri" w:hAnsi="Calibri"/>
                <w:b w:val="0"/>
                <w:color w:val="000000"/>
                <w:sz w:val="18"/>
              </w:rPr>
              <w:t>A count comparison between layers to prove the expected records reached the target.</w:t>
            </w:r>
          </w:p>
        </w:tc>
      </w:tr>
    </w:tbl>
    <w:p>
      <w:pPr>
        <w:spacing w:after="20"/>
      </w:pPr>
    </w:p>
    <w:p/>
    <w:p>
      <w:pPr>
        <w:jc w:val="center"/>
      </w:pPr>
      <w:r>
        <w:rPr>
          <w:i/>
          <w:color w:val="5B6573"/>
        </w:rPr>
        <w:t>End of document</w:t>
      </w:r>
    </w:p>
    <w:sectPr w:rsidR="00FC693F" w:rsidRPr="0006063C" w:rsidSect="00034616">
      <w:footerReference w:type="default" r:id="rId9"/>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B6573"/>
        <w:sz w:val="16"/>
      </w:rPr>
      <w:t>Credit Card Fraud Detection | Capstone Documentation | August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B254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Credit Card Fraud Detection - End-to-End Data Engineering Project Documentation</dc:title>
  <dc:subject>Architecture, process, operations, validation, and deliverables</dc:subject>
  <dc:creator>Credit Card Fraud Detection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