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382DD">
      <w:pPr>
        <w:spacing w:before="1440"/>
        <w:jc w:val="center"/>
      </w:pPr>
      <w:r>
        <w:rPr>
          <w:rFonts w:ascii="Calibri" w:hAnsi="Calibri"/>
          <w:b/>
          <w:color w:val="1F4D78"/>
          <w:sz w:val="26"/>
        </w:rPr>
        <w:t>CREDIT CARD FRAUD DETECTION</w:t>
      </w:r>
    </w:p>
    <w:p w14:paraId="7332DC2F">
      <w:pPr>
        <w:spacing w:after="200"/>
        <w:jc w:val="center"/>
      </w:pPr>
      <w:r>
        <w:rPr>
          <w:rFonts w:ascii="Calibri" w:hAnsi="Calibri"/>
          <w:b/>
          <w:color w:val="0B2545"/>
          <w:sz w:val="50"/>
        </w:rPr>
        <w:t>Pipeline Change Log and Final Design</w:t>
      </w:r>
    </w:p>
    <w:p w14:paraId="05BA403F">
      <w:pPr>
        <w:spacing w:after="640"/>
        <w:jc w:val="center"/>
      </w:pPr>
      <w:r>
        <w:rPr>
          <w:rFonts w:ascii="Calibri" w:hAnsi="Calibri"/>
          <w:color w:val="666666"/>
          <w:sz w:val="26"/>
        </w:rPr>
        <w:t>Evolution of the Bronze, Silver, Snowflake Gold, and orchestration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E00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shd w:val="clear" w:color="auto" w:fill="E8EEF5"/>
            <w:tcMar>
              <w:top w:w="80" w:type="dxa"/>
              <w:left w:w="120" w:type="dxa"/>
              <w:bottom w:w="80" w:type="dxa"/>
              <w:right w:w="120" w:type="dxa"/>
            </w:tcMar>
            <w:vAlign w:val="center"/>
          </w:tcPr>
          <w:p w14:paraId="20570849">
            <w:pPr>
              <w:spacing w:after="0" w:line="240" w:lineRule="auto"/>
            </w:pPr>
            <w:r>
              <w:rPr>
                <w:rFonts w:ascii="Calibri" w:hAnsi="Calibri"/>
                <w:b/>
                <w:color w:val="0B2545"/>
                <w:sz w:val="19"/>
              </w:rPr>
              <w:t>Document status</w:t>
            </w:r>
          </w:p>
        </w:tc>
        <w:tc>
          <w:tcPr>
            <w:tcW w:w="1584" w:type="dxa"/>
            <w:shd w:val="clear" w:color="auto" w:fill="E8EEF5"/>
            <w:tcMar>
              <w:top w:w="80" w:type="dxa"/>
              <w:left w:w="120" w:type="dxa"/>
              <w:bottom w:w="80" w:type="dxa"/>
              <w:right w:w="120" w:type="dxa"/>
            </w:tcMar>
            <w:vAlign w:val="center"/>
          </w:tcPr>
          <w:p w14:paraId="67E9E683">
            <w:pPr>
              <w:spacing w:after="0" w:line="240" w:lineRule="auto"/>
            </w:pPr>
            <w:r>
              <w:rPr>
                <w:rFonts w:ascii="Calibri" w:hAnsi="Calibri"/>
                <w:b/>
                <w:color w:val="0B2545"/>
                <w:sz w:val="19"/>
              </w:rPr>
              <w:t>As of</w:t>
            </w:r>
          </w:p>
        </w:tc>
        <w:tc>
          <w:tcPr>
            <w:tcW w:w="5400" w:type="dxa"/>
            <w:shd w:val="clear" w:color="auto" w:fill="E8EEF5"/>
            <w:tcMar>
              <w:top w:w="80" w:type="dxa"/>
              <w:left w:w="120" w:type="dxa"/>
              <w:bottom w:w="80" w:type="dxa"/>
              <w:right w:w="120" w:type="dxa"/>
            </w:tcMar>
            <w:vAlign w:val="center"/>
          </w:tcPr>
          <w:p w14:paraId="24DABE60">
            <w:pPr>
              <w:spacing w:after="0" w:line="240" w:lineRule="auto"/>
            </w:pPr>
            <w:r>
              <w:rPr>
                <w:rFonts w:ascii="Calibri" w:hAnsi="Calibri"/>
                <w:b/>
                <w:color w:val="0B2545"/>
                <w:sz w:val="19"/>
              </w:rPr>
              <w:t>Scope</w:t>
            </w:r>
          </w:p>
        </w:tc>
      </w:tr>
      <w:tr w14:paraId="7348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1B3A091">
            <w:pPr>
              <w:spacing w:after="0" w:line="240" w:lineRule="auto"/>
            </w:pPr>
            <w:r>
              <w:rPr>
                <w:rFonts w:ascii="Calibri" w:hAnsi="Calibri"/>
                <w:color w:val="000000"/>
                <w:sz w:val="18"/>
              </w:rPr>
              <w:t>Current technical design record</w:t>
            </w:r>
          </w:p>
        </w:tc>
        <w:tc>
          <w:tcPr>
            <w:tcW w:w="3120" w:type="dxa"/>
            <w:tcMar>
              <w:top w:w="80" w:type="dxa"/>
              <w:left w:w="120" w:type="dxa"/>
              <w:bottom w:w="80" w:type="dxa"/>
              <w:right w:w="120" w:type="dxa"/>
            </w:tcMar>
            <w:vAlign w:val="center"/>
          </w:tcPr>
          <w:p w14:paraId="016DD52E">
            <w:pPr>
              <w:spacing w:after="0" w:line="240" w:lineRule="auto"/>
            </w:pPr>
            <w:r>
              <w:rPr>
                <w:rFonts w:ascii="Calibri" w:hAnsi="Calibri"/>
                <w:color w:val="000000"/>
                <w:sz w:val="18"/>
              </w:rPr>
              <w:t>9 August 2026</w:t>
            </w:r>
          </w:p>
        </w:tc>
        <w:tc>
          <w:tcPr>
            <w:tcW w:w="3120" w:type="dxa"/>
            <w:tcMar>
              <w:top w:w="80" w:type="dxa"/>
              <w:left w:w="120" w:type="dxa"/>
              <w:bottom w:w="80" w:type="dxa"/>
              <w:right w:w="120" w:type="dxa"/>
            </w:tcMar>
            <w:vAlign w:val="center"/>
          </w:tcPr>
          <w:p w14:paraId="0C725C6F">
            <w:pPr>
              <w:spacing w:after="0" w:line="240" w:lineRule="auto"/>
            </w:pPr>
            <w:r>
              <w:rPr>
                <w:rFonts w:ascii="Calibri" w:hAnsi="Calibri"/>
                <w:color w:val="000000"/>
                <w:sz w:val="18"/>
              </w:rPr>
              <w:t>Bronze, Silver, Gold, Snowflake, Dagster, S3 and dashboard</w:t>
            </w:r>
          </w:p>
        </w:tc>
      </w:tr>
    </w:tbl>
    <w:p w14:paraId="07BF6DBB">
      <w:pPr>
        <w:spacing w:after="60"/>
      </w:pPr>
    </w:p>
    <w:tbl>
      <w:tblPr>
        <w:tblStyle w:val="12"/>
        <w:tblW w:w="0" w:type="auto"/>
        <w:tblInd w:w="0" w:type="dxa"/>
        <w:tblLayout w:type="fixed"/>
        <w:tblCellMar>
          <w:top w:w="0" w:type="dxa"/>
          <w:left w:w="108" w:type="dxa"/>
          <w:bottom w:w="0" w:type="dxa"/>
          <w:right w:w="108" w:type="dxa"/>
        </w:tblCellMar>
      </w:tblPr>
      <w:tblGrid>
        <w:gridCol w:w="9360"/>
      </w:tblGrid>
      <w:tr w14:paraId="23820321">
        <w:tblPrEx>
          <w:tblCellMar>
            <w:top w:w="0" w:type="dxa"/>
            <w:left w:w="108" w:type="dxa"/>
            <w:bottom w:w="0" w:type="dxa"/>
            <w:right w:w="108" w:type="dxa"/>
          </w:tblCellMar>
        </w:tblPrEx>
        <w:tc>
          <w:tcPr>
            <w:tcW w:w="9360" w:type="dxa"/>
            <w:shd w:val="clear" w:color="auto" w:fill="FFF2CC"/>
            <w:tcMar>
              <w:top w:w="120" w:type="dxa"/>
              <w:left w:w="160" w:type="dxa"/>
              <w:bottom w:w="120" w:type="dxa"/>
              <w:right w:w="160" w:type="dxa"/>
            </w:tcMar>
          </w:tcPr>
          <w:p w14:paraId="15672777">
            <w:pPr>
              <w:spacing w:after="40"/>
            </w:pPr>
            <w:r>
              <w:rPr>
                <w:rFonts w:ascii="Calibri" w:hAnsi="Calibri"/>
                <w:b/>
                <w:color w:val="0B2545"/>
                <w:sz w:val="21"/>
              </w:rPr>
              <w:t xml:space="preserve">Important status: </w:t>
            </w:r>
            <w:r>
              <w:rPr>
                <w:rFonts w:ascii="Calibri" w:hAnsi="Calibri"/>
                <w:color w:val="000000"/>
                <w:sz w:val="21"/>
              </w:rPr>
              <w:t>This document records the latest approved design and code direction. Earlier tables still include historical runs from the prior design. A controlled clean rebuild is pending before the final schema and row counts are treated as production-ready.</w:t>
            </w:r>
          </w:p>
        </w:tc>
      </w:tr>
    </w:tbl>
    <w:p w14:paraId="6E6AABCA">
      <w:pPr>
        <w:spacing w:after="40"/>
      </w:pPr>
    </w:p>
    <w:p w14:paraId="0A425D06">
      <w:pPr>
        <w:pStyle w:val="2"/>
      </w:pPr>
      <w:r>
        <w:rPr>
          <w:rFonts w:ascii="Calibri" w:hAnsi="Calibri"/>
          <w:b/>
          <w:color w:val="2E74B5"/>
          <w:sz w:val="32"/>
        </w:rPr>
        <w:t>1. Executive summary</w:t>
      </w:r>
    </w:p>
    <w:p w14:paraId="36BB65C9">
      <w:pPr>
        <w:spacing w:after="120" w:line="264" w:lineRule="auto"/>
      </w:pPr>
      <w:r>
        <w:rPr>
          <w:rFonts w:ascii="Calibri" w:hAnsi="Calibri"/>
          <w:color w:val="000000"/>
          <w:sz w:val="22"/>
        </w:rPr>
        <w:t>The project evolved from a basic one-time ingestion pipeline into an incremental, auditable fraud-risk data platform. The final approach preserves the source exactly in Bronze, standardizes and deduplicates only in Silver, publishes business-friendly analytical objects in Snowflake Gold, and uses Dagster to coordinate, validate, archive, and prevent duplicate work.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FA8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56" w:type="dxa"/>
            <w:shd w:val="clear" w:color="auto" w:fill="E8EEF5"/>
            <w:tcMar>
              <w:top w:w="80" w:type="dxa"/>
              <w:left w:w="120" w:type="dxa"/>
              <w:bottom w:w="80" w:type="dxa"/>
              <w:right w:w="120" w:type="dxa"/>
            </w:tcMar>
            <w:vAlign w:val="center"/>
          </w:tcPr>
          <w:p w14:paraId="57915EC0">
            <w:pPr>
              <w:spacing w:after="0" w:line="240" w:lineRule="auto"/>
            </w:pPr>
            <w:r>
              <w:rPr>
                <w:rFonts w:ascii="Calibri" w:hAnsi="Calibri"/>
                <w:b/>
                <w:color w:val="0B2545"/>
                <w:sz w:val="19"/>
              </w:rPr>
              <w:t>Layer</w:t>
            </w:r>
          </w:p>
        </w:tc>
        <w:tc>
          <w:tcPr>
            <w:tcW w:w="3024" w:type="dxa"/>
            <w:shd w:val="clear" w:color="auto" w:fill="E8EEF5"/>
            <w:tcMar>
              <w:top w:w="80" w:type="dxa"/>
              <w:left w:w="120" w:type="dxa"/>
              <w:bottom w:w="80" w:type="dxa"/>
              <w:right w:w="120" w:type="dxa"/>
            </w:tcMar>
            <w:vAlign w:val="center"/>
          </w:tcPr>
          <w:p w14:paraId="5E1F6405">
            <w:pPr>
              <w:spacing w:after="0" w:line="240" w:lineRule="auto"/>
            </w:pPr>
            <w:r>
              <w:rPr>
                <w:rFonts w:ascii="Calibri" w:hAnsi="Calibri"/>
                <w:b/>
                <w:color w:val="0B2545"/>
                <w:sz w:val="19"/>
              </w:rPr>
              <w:t>Final responsibility</w:t>
            </w:r>
          </w:p>
        </w:tc>
        <w:tc>
          <w:tcPr>
            <w:tcW w:w="4680" w:type="dxa"/>
            <w:shd w:val="clear" w:color="auto" w:fill="E8EEF5"/>
            <w:tcMar>
              <w:top w:w="80" w:type="dxa"/>
              <w:left w:w="120" w:type="dxa"/>
              <w:bottom w:w="80" w:type="dxa"/>
              <w:right w:w="120" w:type="dxa"/>
            </w:tcMar>
            <w:vAlign w:val="center"/>
          </w:tcPr>
          <w:p w14:paraId="4F775FFE">
            <w:pPr>
              <w:spacing w:after="0" w:line="240" w:lineRule="auto"/>
            </w:pPr>
            <w:r>
              <w:rPr>
                <w:rFonts w:ascii="Calibri" w:hAnsi="Calibri"/>
                <w:b/>
                <w:color w:val="0B2545"/>
                <w:sz w:val="19"/>
              </w:rPr>
              <w:t>Key design decision</w:t>
            </w:r>
          </w:p>
        </w:tc>
      </w:tr>
      <w:tr w14:paraId="796F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C60F517">
            <w:pPr>
              <w:spacing w:after="0" w:line="240" w:lineRule="auto"/>
            </w:pPr>
            <w:r>
              <w:rPr>
                <w:rFonts w:ascii="Calibri" w:hAnsi="Calibri"/>
                <w:color w:val="000000"/>
                <w:sz w:val="18"/>
              </w:rPr>
              <w:t>S3 landing</w:t>
            </w:r>
          </w:p>
        </w:tc>
        <w:tc>
          <w:tcPr>
            <w:tcW w:w="3120" w:type="dxa"/>
            <w:tcMar>
              <w:top w:w="80" w:type="dxa"/>
              <w:left w:w="120" w:type="dxa"/>
              <w:bottom w:w="80" w:type="dxa"/>
              <w:right w:w="120" w:type="dxa"/>
            </w:tcMar>
            <w:vAlign w:val="center"/>
          </w:tcPr>
          <w:p w14:paraId="20CAEFB4">
            <w:pPr>
              <w:spacing w:after="0" w:line="240" w:lineRule="auto"/>
            </w:pPr>
            <w:r>
              <w:rPr>
                <w:rFonts w:ascii="Calibri" w:hAnsi="Calibri"/>
                <w:color w:val="000000"/>
                <w:sz w:val="18"/>
              </w:rPr>
              <w:t>Receive source files</w:t>
            </w:r>
          </w:p>
        </w:tc>
        <w:tc>
          <w:tcPr>
            <w:tcW w:w="3120" w:type="dxa"/>
            <w:tcMar>
              <w:top w:w="80" w:type="dxa"/>
              <w:left w:w="120" w:type="dxa"/>
              <w:bottom w:w="80" w:type="dxa"/>
              <w:right w:w="120" w:type="dxa"/>
            </w:tcMar>
            <w:vAlign w:val="center"/>
          </w:tcPr>
          <w:p w14:paraId="145FC529">
            <w:pPr>
              <w:spacing w:after="0" w:line="240" w:lineRule="auto"/>
            </w:pPr>
            <w:r>
              <w:rPr>
                <w:rFonts w:ascii="Calibri" w:hAnsi="Calibri"/>
                <w:color w:val="000000"/>
                <w:sz w:val="18"/>
              </w:rPr>
              <w:t>Files are processed incrementally, then archived or rejected.</w:t>
            </w:r>
          </w:p>
        </w:tc>
      </w:tr>
      <w:tr w14:paraId="5507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3D6E6D9">
            <w:pPr>
              <w:spacing w:after="0" w:line="240" w:lineRule="auto"/>
            </w:pPr>
            <w:r>
              <w:rPr>
                <w:rFonts w:ascii="Calibri" w:hAnsi="Calibri"/>
                <w:color w:val="000000"/>
                <w:sz w:val="18"/>
              </w:rPr>
              <w:t>Databricks Bronze</w:t>
            </w:r>
          </w:p>
        </w:tc>
        <w:tc>
          <w:tcPr>
            <w:tcW w:w="3120" w:type="dxa"/>
            <w:tcMar>
              <w:top w:w="80" w:type="dxa"/>
              <w:left w:w="120" w:type="dxa"/>
              <w:bottom w:w="80" w:type="dxa"/>
              <w:right w:w="120" w:type="dxa"/>
            </w:tcMar>
            <w:vAlign w:val="center"/>
          </w:tcPr>
          <w:p w14:paraId="76222607">
            <w:pPr>
              <w:spacing w:after="0" w:line="240" w:lineRule="auto"/>
            </w:pPr>
            <w:r>
              <w:rPr>
                <w:rFonts w:ascii="Calibri" w:hAnsi="Calibri"/>
                <w:color w:val="000000"/>
                <w:sz w:val="18"/>
              </w:rPr>
              <w:t>Immutable raw ingestion</w:t>
            </w:r>
          </w:p>
        </w:tc>
        <w:tc>
          <w:tcPr>
            <w:tcW w:w="3120" w:type="dxa"/>
            <w:tcMar>
              <w:top w:w="80" w:type="dxa"/>
              <w:left w:w="120" w:type="dxa"/>
              <w:bottom w:w="80" w:type="dxa"/>
              <w:right w:w="120" w:type="dxa"/>
            </w:tcMar>
            <w:vAlign w:val="center"/>
          </w:tcPr>
          <w:p w14:paraId="1807961E">
            <w:pPr>
              <w:spacing w:after="0" w:line="240" w:lineRule="auto"/>
            </w:pPr>
            <w:r>
              <w:rPr>
                <w:rFonts w:ascii="Calibri" w:hAnsi="Calibri"/>
                <w:color w:val="000000"/>
                <w:sz w:val="18"/>
              </w:rPr>
              <w:t>Preserve every source row; never remove transaction duplicates here.</w:t>
            </w:r>
          </w:p>
        </w:tc>
      </w:tr>
      <w:tr w14:paraId="3332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CEF8763">
            <w:pPr>
              <w:spacing w:after="0" w:line="240" w:lineRule="auto"/>
            </w:pPr>
            <w:r>
              <w:rPr>
                <w:rFonts w:ascii="Calibri" w:hAnsi="Calibri"/>
                <w:color w:val="000000"/>
                <w:sz w:val="18"/>
              </w:rPr>
              <w:t>Databricks Silver</w:t>
            </w:r>
          </w:p>
        </w:tc>
        <w:tc>
          <w:tcPr>
            <w:tcW w:w="3120" w:type="dxa"/>
            <w:tcMar>
              <w:top w:w="80" w:type="dxa"/>
              <w:left w:w="120" w:type="dxa"/>
              <w:bottom w:w="80" w:type="dxa"/>
              <w:right w:w="120" w:type="dxa"/>
            </w:tcMar>
            <w:vAlign w:val="center"/>
          </w:tcPr>
          <w:p w14:paraId="10D299C4">
            <w:pPr>
              <w:spacing w:after="0" w:line="240" w:lineRule="auto"/>
            </w:pPr>
            <w:r>
              <w:rPr>
                <w:rFonts w:ascii="Calibri" w:hAnsi="Calibri"/>
                <w:color w:val="000000"/>
                <w:sz w:val="18"/>
              </w:rPr>
              <w:t>Validated, standardized transaction layer</w:t>
            </w:r>
          </w:p>
        </w:tc>
        <w:tc>
          <w:tcPr>
            <w:tcW w:w="3120" w:type="dxa"/>
            <w:tcMar>
              <w:top w:w="80" w:type="dxa"/>
              <w:left w:w="120" w:type="dxa"/>
              <w:bottom w:w="80" w:type="dxa"/>
              <w:right w:w="120" w:type="dxa"/>
            </w:tcMar>
            <w:vAlign w:val="center"/>
          </w:tcPr>
          <w:p w14:paraId="02FCF3B2">
            <w:pPr>
              <w:spacing w:after="0" w:line="240" w:lineRule="auto"/>
            </w:pPr>
            <w:r>
              <w:rPr>
                <w:rFonts w:ascii="Calibri" w:hAnsi="Calibri"/>
                <w:color w:val="000000"/>
                <w:sz w:val="18"/>
              </w:rPr>
              <w:t>Remove exact duplicate records and calculate transparent review-priority signals.</w:t>
            </w:r>
          </w:p>
        </w:tc>
      </w:tr>
      <w:tr w14:paraId="129B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E882080">
            <w:pPr>
              <w:spacing w:after="0" w:line="240" w:lineRule="auto"/>
            </w:pPr>
            <w:r>
              <w:rPr>
                <w:rFonts w:ascii="Calibri" w:hAnsi="Calibri"/>
                <w:color w:val="000000"/>
                <w:sz w:val="18"/>
              </w:rPr>
              <w:t>Snowflake RAW</w:t>
            </w:r>
          </w:p>
        </w:tc>
        <w:tc>
          <w:tcPr>
            <w:tcW w:w="3120" w:type="dxa"/>
            <w:tcMar>
              <w:top w:w="80" w:type="dxa"/>
              <w:left w:w="120" w:type="dxa"/>
              <w:bottom w:w="80" w:type="dxa"/>
              <w:right w:w="120" w:type="dxa"/>
            </w:tcMar>
            <w:vAlign w:val="center"/>
          </w:tcPr>
          <w:p w14:paraId="45E314E3">
            <w:pPr>
              <w:spacing w:after="0" w:line="240" w:lineRule="auto"/>
            </w:pPr>
            <w:r>
              <w:rPr>
                <w:rFonts w:ascii="Calibri" w:hAnsi="Calibri"/>
                <w:color w:val="000000"/>
                <w:sz w:val="18"/>
              </w:rPr>
              <w:t>Incremental operational copy of Silver</w:t>
            </w:r>
          </w:p>
        </w:tc>
        <w:tc>
          <w:tcPr>
            <w:tcW w:w="3120" w:type="dxa"/>
            <w:tcMar>
              <w:top w:w="80" w:type="dxa"/>
              <w:left w:w="120" w:type="dxa"/>
              <w:bottom w:w="80" w:type="dxa"/>
              <w:right w:w="120" w:type="dxa"/>
            </w:tcMar>
            <w:vAlign w:val="center"/>
          </w:tcPr>
          <w:p w14:paraId="3E9FF755">
            <w:pPr>
              <w:spacing w:after="0" w:line="240" w:lineRule="auto"/>
            </w:pPr>
            <w:r>
              <w:rPr>
                <w:rFonts w:ascii="Calibri" w:hAnsi="Calibri"/>
                <w:color w:val="000000"/>
                <w:sz w:val="18"/>
              </w:rPr>
              <w:t>Append only a new batch after a batch-and-file guard.</w:t>
            </w:r>
          </w:p>
        </w:tc>
      </w:tr>
      <w:tr w14:paraId="6551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D7B9794">
            <w:pPr>
              <w:spacing w:after="0" w:line="240" w:lineRule="auto"/>
            </w:pPr>
            <w:r>
              <w:rPr>
                <w:rFonts w:ascii="Calibri" w:hAnsi="Calibri"/>
                <w:color w:val="000000"/>
                <w:sz w:val="18"/>
              </w:rPr>
              <w:t>Snowflake Gold</w:t>
            </w:r>
          </w:p>
        </w:tc>
        <w:tc>
          <w:tcPr>
            <w:tcW w:w="3120" w:type="dxa"/>
            <w:tcMar>
              <w:top w:w="80" w:type="dxa"/>
              <w:left w:w="120" w:type="dxa"/>
              <w:bottom w:w="80" w:type="dxa"/>
              <w:right w:w="120" w:type="dxa"/>
            </w:tcMar>
            <w:vAlign w:val="center"/>
          </w:tcPr>
          <w:p w14:paraId="7474052F">
            <w:pPr>
              <w:spacing w:after="0" w:line="240" w:lineRule="auto"/>
            </w:pPr>
            <w:r>
              <w:rPr>
                <w:rFonts w:ascii="Calibri" w:hAnsi="Calibri"/>
                <w:color w:val="000000"/>
                <w:sz w:val="18"/>
              </w:rPr>
              <w:t>Dashboard-ready aggregates and analyst queue</w:t>
            </w:r>
          </w:p>
        </w:tc>
        <w:tc>
          <w:tcPr>
            <w:tcW w:w="3120" w:type="dxa"/>
            <w:tcMar>
              <w:top w:w="80" w:type="dxa"/>
              <w:left w:w="120" w:type="dxa"/>
              <w:bottom w:w="80" w:type="dxa"/>
              <w:right w:w="120" w:type="dxa"/>
            </w:tcMar>
            <w:vAlign w:val="center"/>
          </w:tcPr>
          <w:p w14:paraId="14EEF9F7">
            <w:pPr>
              <w:spacing w:after="0" w:line="240" w:lineRule="auto"/>
            </w:pPr>
            <w:r>
              <w:rPr>
                <w:rFonts w:ascii="Calibri" w:hAnsi="Calibri"/>
                <w:color w:val="000000"/>
                <w:sz w:val="18"/>
              </w:rPr>
              <w:t>Three tables plus one live view, with business-friendly names.</w:t>
            </w:r>
          </w:p>
        </w:tc>
      </w:tr>
      <w:tr w14:paraId="52C0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4955A2C">
            <w:pPr>
              <w:spacing w:after="0" w:line="240" w:lineRule="auto"/>
            </w:pPr>
            <w:r>
              <w:rPr>
                <w:rFonts w:ascii="Calibri" w:hAnsi="Calibri"/>
                <w:color w:val="000000"/>
                <w:sz w:val="18"/>
              </w:rPr>
              <w:t>Dagster</w:t>
            </w:r>
          </w:p>
        </w:tc>
        <w:tc>
          <w:tcPr>
            <w:tcW w:w="3120" w:type="dxa"/>
            <w:tcMar>
              <w:top w:w="80" w:type="dxa"/>
              <w:left w:w="120" w:type="dxa"/>
              <w:bottom w:w="80" w:type="dxa"/>
              <w:right w:w="120" w:type="dxa"/>
            </w:tcMar>
            <w:vAlign w:val="center"/>
          </w:tcPr>
          <w:p w14:paraId="4F820AD4">
            <w:pPr>
              <w:spacing w:after="0" w:line="240" w:lineRule="auto"/>
            </w:pPr>
            <w:r>
              <w:rPr>
                <w:rFonts w:ascii="Calibri" w:hAnsi="Calibri"/>
                <w:color w:val="000000"/>
                <w:sz w:val="18"/>
              </w:rPr>
              <w:t>Orchestration and operational controls</w:t>
            </w:r>
          </w:p>
        </w:tc>
        <w:tc>
          <w:tcPr>
            <w:tcW w:w="3120" w:type="dxa"/>
            <w:tcMar>
              <w:top w:w="80" w:type="dxa"/>
              <w:left w:w="120" w:type="dxa"/>
              <w:bottom w:w="80" w:type="dxa"/>
              <w:right w:w="120" w:type="dxa"/>
            </w:tcMar>
            <w:vAlign w:val="center"/>
          </w:tcPr>
          <w:p w14:paraId="561FC80D">
            <w:pPr>
              <w:spacing w:after="0" w:line="240" w:lineRule="auto"/>
            </w:pPr>
            <w:r>
              <w:rPr>
                <w:rFonts w:ascii="Calibri" w:hAnsi="Calibri"/>
                <w:color w:val="000000"/>
                <w:sz w:val="18"/>
              </w:rPr>
              <w:t>One controlled pipeline at a time; retries, validation, archive and duplicate routing.</w:t>
            </w:r>
          </w:p>
        </w:tc>
      </w:tr>
    </w:tbl>
    <w:p w14:paraId="2C8EEE8A">
      <w:pPr>
        <w:spacing w:after="60"/>
      </w:pPr>
    </w:p>
    <w:p w14:paraId="60FA208B">
      <w:pPr>
        <w:pStyle w:val="2"/>
      </w:pPr>
      <w:r>
        <w:rPr>
          <w:rFonts w:ascii="Calibri" w:hAnsi="Calibri"/>
          <w:b/>
          <w:color w:val="2E74B5"/>
          <w:sz w:val="32"/>
        </w:rPr>
        <w:t>2. Current status and important rebuild caveat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AD4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32" w:type="dxa"/>
            <w:shd w:val="clear" w:color="auto" w:fill="E8EEF5"/>
            <w:tcMar>
              <w:top w:w="80" w:type="dxa"/>
              <w:left w:w="120" w:type="dxa"/>
              <w:bottom w:w="80" w:type="dxa"/>
              <w:right w:w="120" w:type="dxa"/>
            </w:tcMar>
            <w:vAlign w:val="center"/>
          </w:tcPr>
          <w:p w14:paraId="5141DF79">
            <w:pPr>
              <w:spacing w:after="0" w:line="240" w:lineRule="auto"/>
            </w:pPr>
            <w:r>
              <w:rPr>
                <w:rFonts w:ascii="Calibri" w:hAnsi="Calibri"/>
                <w:b/>
                <w:color w:val="0B2545"/>
                <w:sz w:val="19"/>
              </w:rPr>
              <w:t>Area</w:t>
            </w:r>
          </w:p>
        </w:tc>
        <w:tc>
          <w:tcPr>
            <w:tcW w:w="4968" w:type="dxa"/>
            <w:shd w:val="clear" w:color="auto" w:fill="E8EEF5"/>
            <w:tcMar>
              <w:top w:w="80" w:type="dxa"/>
              <w:left w:w="120" w:type="dxa"/>
              <w:bottom w:w="80" w:type="dxa"/>
              <w:right w:w="120" w:type="dxa"/>
            </w:tcMar>
            <w:vAlign w:val="center"/>
          </w:tcPr>
          <w:p w14:paraId="33421C14">
            <w:pPr>
              <w:spacing w:after="0" w:line="240" w:lineRule="auto"/>
            </w:pPr>
            <w:r>
              <w:rPr>
                <w:rFonts w:ascii="Calibri" w:hAnsi="Calibri"/>
                <w:b/>
                <w:color w:val="0B2545"/>
                <w:sz w:val="19"/>
              </w:rPr>
              <w:t>Latest position</w:t>
            </w:r>
          </w:p>
        </w:tc>
        <w:tc>
          <w:tcPr>
            <w:tcW w:w="2160" w:type="dxa"/>
            <w:shd w:val="clear" w:color="auto" w:fill="E8EEF5"/>
            <w:tcMar>
              <w:top w:w="80" w:type="dxa"/>
              <w:left w:w="120" w:type="dxa"/>
              <w:bottom w:w="80" w:type="dxa"/>
              <w:right w:w="120" w:type="dxa"/>
            </w:tcMar>
            <w:vAlign w:val="center"/>
          </w:tcPr>
          <w:p w14:paraId="3C0B74D4">
            <w:pPr>
              <w:spacing w:after="0" w:line="240" w:lineRule="auto"/>
            </w:pPr>
            <w:r>
              <w:rPr>
                <w:rFonts w:ascii="Calibri" w:hAnsi="Calibri"/>
                <w:b/>
                <w:color w:val="0B2545"/>
                <w:sz w:val="19"/>
              </w:rPr>
              <w:t>Status</w:t>
            </w:r>
          </w:p>
        </w:tc>
      </w:tr>
      <w:tr w14:paraId="1C22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2CD37C6">
            <w:pPr>
              <w:spacing w:after="0" w:line="240" w:lineRule="auto"/>
            </w:pPr>
            <w:r>
              <w:rPr>
                <w:rFonts w:ascii="Calibri" w:hAnsi="Calibri"/>
                <w:color w:val="000000"/>
                <w:sz w:val="18"/>
              </w:rPr>
              <w:t>Final Bronze SQL</w:t>
            </w:r>
          </w:p>
        </w:tc>
        <w:tc>
          <w:tcPr>
            <w:tcW w:w="3120" w:type="dxa"/>
            <w:tcMar>
              <w:top w:w="80" w:type="dxa"/>
              <w:left w:w="120" w:type="dxa"/>
              <w:bottom w:w="80" w:type="dxa"/>
              <w:right w:w="120" w:type="dxa"/>
            </w:tcMar>
            <w:vAlign w:val="center"/>
          </w:tcPr>
          <w:p w14:paraId="7D2112E1">
            <w:pPr>
              <w:spacing w:after="0" w:line="240" w:lineRule="auto"/>
            </w:pPr>
            <w:r>
              <w:rPr>
                <w:rFonts w:ascii="Calibri" w:hAnsi="Calibri"/>
                <w:color w:val="000000"/>
                <w:sz w:val="18"/>
              </w:rPr>
              <w:t>Designed to preserve all source rows and track content hashes.</w:t>
            </w:r>
          </w:p>
        </w:tc>
        <w:tc>
          <w:tcPr>
            <w:tcW w:w="3120" w:type="dxa"/>
            <w:shd w:val="clear" w:color="auto" w:fill="E2F0D9"/>
            <w:tcMar>
              <w:top w:w="80" w:type="dxa"/>
              <w:left w:w="120" w:type="dxa"/>
              <w:bottom w:w="80" w:type="dxa"/>
              <w:right w:w="120" w:type="dxa"/>
            </w:tcMar>
            <w:vAlign w:val="center"/>
          </w:tcPr>
          <w:p w14:paraId="2AC0ADE2">
            <w:pPr>
              <w:spacing w:after="0" w:line="240" w:lineRule="auto"/>
            </w:pPr>
            <w:r>
              <w:rPr>
                <w:rFonts w:ascii="Calibri" w:hAnsi="Calibri"/>
                <w:color w:val="000000"/>
                <w:sz w:val="18"/>
              </w:rPr>
              <w:t>Implemented in code</w:t>
            </w:r>
          </w:p>
        </w:tc>
      </w:tr>
      <w:tr w14:paraId="3F68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7BDC2746">
            <w:pPr>
              <w:spacing w:after="0" w:line="240" w:lineRule="auto"/>
            </w:pPr>
            <w:r>
              <w:rPr>
                <w:rFonts w:ascii="Calibri" w:hAnsi="Calibri"/>
                <w:color w:val="000000"/>
                <w:sz w:val="18"/>
              </w:rPr>
              <w:t>Final Silver SQL</w:t>
            </w:r>
          </w:p>
        </w:tc>
        <w:tc>
          <w:tcPr>
            <w:tcW w:w="3120" w:type="dxa"/>
            <w:tcMar>
              <w:top w:w="80" w:type="dxa"/>
              <w:left w:w="120" w:type="dxa"/>
              <w:bottom w:w="80" w:type="dxa"/>
              <w:right w:w="120" w:type="dxa"/>
            </w:tcMar>
            <w:vAlign w:val="center"/>
          </w:tcPr>
          <w:p w14:paraId="61F5E9FC">
            <w:pPr>
              <w:spacing w:after="0" w:line="240" w:lineRule="auto"/>
            </w:pPr>
            <w:r>
              <w:rPr>
                <w:rFonts w:ascii="Calibri" w:hAnsi="Calibri"/>
                <w:color w:val="000000"/>
                <w:sz w:val="18"/>
              </w:rPr>
              <w:t>Lean final schema and exact-duplicate removal design agreed.</w:t>
            </w:r>
          </w:p>
        </w:tc>
        <w:tc>
          <w:tcPr>
            <w:tcW w:w="3120" w:type="dxa"/>
            <w:tcMar>
              <w:top w:w="80" w:type="dxa"/>
              <w:left w:w="120" w:type="dxa"/>
              <w:bottom w:w="80" w:type="dxa"/>
              <w:right w:w="120" w:type="dxa"/>
            </w:tcMar>
            <w:vAlign w:val="center"/>
          </w:tcPr>
          <w:p w14:paraId="7A92C024">
            <w:pPr>
              <w:spacing w:after="0" w:line="240" w:lineRule="auto"/>
            </w:pPr>
            <w:r>
              <w:rPr>
                <w:rFonts w:ascii="Calibri" w:hAnsi="Calibri"/>
                <w:color w:val="000000"/>
                <w:sz w:val="18"/>
              </w:rPr>
              <w:t>Ready for controlled rebuild</w:t>
            </w:r>
          </w:p>
        </w:tc>
      </w:tr>
      <w:tr w14:paraId="5E77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36D1C3E">
            <w:pPr>
              <w:spacing w:after="0" w:line="240" w:lineRule="auto"/>
            </w:pPr>
            <w:r>
              <w:rPr>
                <w:rFonts w:ascii="Calibri" w:hAnsi="Calibri"/>
                <w:color w:val="000000"/>
                <w:sz w:val="18"/>
              </w:rPr>
              <w:t>Snowflake Gold procedure</w:t>
            </w:r>
          </w:p>
        </w:tc>
        <w:tc>
          <w:tcPr>
            <w:tcW w:w="3120" w:type="dxa"/>
            <w:tcMar>
              <w:top w:w="80" w:type="dxa"/>
              <w:left w:w="120" w:type="dxa"/>
              <w:bottom w:w="80" w:type="dxa"/>
              <w:right w:w="120" w:type="dxa"/>
            </w:tcMar>
            <w:vAlign w:val="center"/>
          </w:tcPr>
          <w:p w14:paraId="63C8D33A">
            <w:pPr>
              <w:spacing w:after="0" w:line="240" w:lineRule="auto"/>
            </w:pPr>
            <w:r>
              <w:rPr>
                <w:rFonts w:ascii="Calibri" w:hAnsi="Calibri"/>
                <w:color w:val="000000"/>
                <w:sz w:val="18"/>
              </w:rPr>
              <w:t>Business-name Gold object definitions prepared.</w:t>
            </w:r>
          </w:p>
        </w:tc>
        <w:tc>
          <w:tcPr>
            <w:tcW w:w="3120" w:type="dxa"/>
            <w:tcMar>
              <w:top w:w="80" w:type="dxa"/>
              <w:left w:w="120" w:type="dxa"/>
              <w:bottom w:w="80" w:type="dxa"/>
              <w:right w:w="120" w:type="dxa"/>
            </w:tcMar>
            <w:vAlign w:val="center"/>
          </w:tcPr>
          <w:p w14:paraId="7F4B90CA">
            <w:pPr>
              <w:spacing w:after="0" w:line="240" w:lineRule="auto"/>
            </w:pPr>
            <w:r>
              <w:rPr>
                <w:rFonts w:ascii="Calibri" w:hAnsi="Calibri"/>
                <w:color w:val="000000"/>
                <w:sz w:val="18"/>
              </w:rPr>
              <w:t>Ready to run after RAW reload</w:t>
            </w:r>
          </w:p>
        </w:tc>
      </w:tr>
      <w:tr w14:paraId="2582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B220AC8">
            <w:pPr>
              <w:spacing w:after="0" w:line="240" w:lineRule="auto"/>
            </w:pPr>
            <w:r>
              <w:rPr>
                <w:rFonts w:ascii="Calibri" w:hAnsi="Calibri"/>
                <w:color w:val="000000"/>
                <w:sz w:val="18"/>
              </w:rPr>
              <w:t>Dagster pipeline</w:t>
            </w:r>
          </w:p>
        </w:tc>
        <w:tc>
          <w:tcPr>
            <w:tcW w:w="3120" w:type="dxa"/>
            <w:tcMar>
              <w:top w:w="80" w:type="dxa"/>
              <w:left w:w="120" w:type="dxa"/>
              <w:bottom w:w="80" w:type="dxa"/>
              <w:right w:w="120" w:type="dxa"/>
            </w:tcMar>
            <w:vAlign w:val="center"/>
          </w:tcPr>
          <w:p w14:paraId="3D271031">
            <w:pPr>
              <w:spacing w:after="0" w:line="240" w:lineRule="auto"/>
            </w:pPr>
            <w:r>
              <w:rPr>
                <w:rFonts w:ascii="Calibri" w:hAnsi="Calibri"/>
                <w:color w:val="000000"/>
                <w:sz w:val="18"/>
              </w:rPr>
              <w:t>Bronze → Silver → Snowflake RAW → validation → Gold → archive flow exists.</w:t>
            </w:r>
          </w:p>
        </w:tc>
        <w:tc>
          <w:tcPr>
            <w:tcW w:w="3120" w:type="dxa"/>
            <w:shd w:val="clear" w:color="auto" w:fill="E2F0D9"/>
            <w:tcMar>
              <w:top w:w="80" w:type="dxa"/>
              <w:left w:w="120" w:type="dxa"/>
              <w:bottom w:w="80" w:type="dxa"/>
              <w:right w:w="120" w:type="dxa"/>
            </w:tcMar>
            <w:vAlign w:val="center"/>
          </w:tcPr>
          <w:p w14:paraId="7345D3F5">
            <w:pPr>
              <w:spacing w:after="0" w:line="240" w:lineRule="auto"/>
            </w:pPr>
            <w:r>
              <w:rPr>
                <w:rFonts w:ascii="Calibri" w:hAnsi="Calibri"/>
                <w:color w:val="000000"/>
                <w:sz w:val="18"/>
              </w:rPr>
              <w:t>Verified in earlier runs; latest changes need retest</w:t>
            </w:r>
          </w:p>
        </w:tc>
      </w:tr>
      <w:tr w14:paraId="2EA0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8E705CC">
            <w:pPr>
              <w:spacing w:after="0" w:line="240" w:lineRule="auto"/>
            </w:pPr>
            <w:r>
              <w:rPr>
                <w:rFonts w:ascii="Calibri" w:hAnsi="Calibri"/>
                <w:color w:val="000000"/>
                <w:sz w:val="18"/>
              </w:rPr>
              <w:t>Historic batch_001</w:t>
            </w:r>
          </w:p>
        </w:tc>
        <w:tc>
          <w:tcPr>
            <w:tcW w:w="3120" w:type="dxa"/>
            <w:tcMar>
              <w:top w:w="80" w:type="dxa"/>
              <w:left w:w="120" w:type="dxa"/>
              <w:bottom w:w="80" w:type="dxa"/>
              <w:right w:w="120" w:type="dxa"/>
            </w:tcMar>
            <w:vAlign w:val="center"/>
          </w:tcPr>
          <w:p w14:paraId="6E479889">
            <w:pPr>
              <w:spacing w:after="0" w:line="240" w:lineRule="auto"/>
            </w:pPr>
            <w:r>
              <w:rPr>
                <w:rFonts w:ascii="Calibri" w:hAnsi="Calibri"/>
                <w:color w:val="000000"/>
                <w:sz w:val="18"/>
              </w:rPr>
              <w:t>Has 283,726 Bronze rows versus 284,807 source rows from an old DISTINCT logic.</w:t>
            </w:r>
          </w:p>
        </w:tc>
        <w:tc>
          <w:tcPr>
            <w:tcW w:w="3120" w:type="dxa"/>
            <w:shd w:val="clear" w:color="auto" w:fill="FCE4D6"/>
            <w:tcMar>
              <w:top w:w="80" w:type="dxa"/>
              <w:left w:w="120" w:type="dxa"/>
              <w:bottom w:w="80" w:type="dxa"/>
              <w:right w:w="120" w:type="dxa"/>
            </w:tcMar>
            <w:vAlign w:val="center"/>
          </w:tcPr>
          <w:p w14:paraId="12F5FCBC">
            <w:pPr>
              <w:spacing w:after="0" w:line="240" w:lineRule="auto"/>
            </w:pPr>
            <w:r>
              <w:rPr>
                <w:rFonts w:ascii="Calibri" w:hAnsi="Calibri"/>
                <w:color w:val="000000"/>
                <w:sz w:val="18"/>
              </w:rPr>
              <w:t>Caution: historic data must be rebuilt</w:t>
            </w:r>
          </w:p>
        </w:tc>
      </w:tr>
      <w:tr w14:paraId="22C0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2F5AAE3A">
            <w:pPr>
              <w:spacing w:after="0" w:line="240" w:lineRule="auto"/>
            </w:pPr>
            <w:r>
              <w:rPr>
                <w:rFonts w:ascii="Calibri" w:hAnsi="Calibri"/>
                <w:color w:val="000000"/>
                <w:sz w:val="18"/>
              </w:rPr>
              <w:t>Clean rebuild</w:t>
            </w:r>
          </w:p>
        </w:tc>
        <w:tc>
          <w:tcPr>
            <w:tcW w:w="3120" w:type="dxa"/>
            <w:tcMar>
              <w:top w:w="80" w:type="dxa"/>
              <w:left w:w="120" w:type="dxa"/>
              <w:bottom w:w="80" w:type="dxa"/>
              <w:right w:w="120" w:type="dxa"/>
            </w:tcMar>
            <w:vAlign w:val="center"/>
          </w:tcPr>
          <w:p w14:paraId="09895736">
            <w:pPr>
              <w:spacing w:after="0" w:line="240" w:lineRule="auto"/>
            </w:pPr>
            <w:r>
              <w:rPr>
                <w:rFonts w:ascii="Calibri" w:hAnsi="Calibri"/>
                <w:color w:val="000000"/>
                <w:sz w:val="18"/>
              </w:rPr>
              <w:t>Truncate/reload final objects from source after final notebooks are confirmed.</w:t>
            </w:r>
          </w:p>
        </w:tc>
        <w:tc>
          <w:tcPr>
            <w:tcW w:w="3120" w:type="dxa"/>
            <w:shd w:val="clear" w:color="auto" w:fill="FFF2CC"/>
            <w:tcMar>
              <w:top w:w="80" w:type="dxa"/>
              <w:left w:w="120" w:type="dxa"/>
              <w:bottom w:w="80" w:type="dxa"/>
              <w:right w:w="120" w:type="dxa"/>
            </w:tcMar>
            <w:vAlign w:val="center"/>
          </w:tcPr>
          <w:p w14:paraId="57E86573">
            <w:pPr>
              <w:spacing w:after="0" w:line="240" w:lineRule="auto"/>
            </w:pPr>
            <w:r>
              <w:rPr>
                <w:rFonts w:ascii="Calibri" w:hAnsi="Calibri"/>
                <w:color w:val="000000"/>
                <w:sz w:val="18"/>
              </w:rPr>
              <w:t>Pending</w:t>
            </w:r>
          </w:p>
        </w:tc>
      </w:tr>
    </w:tbl>
    <w:p w14:paraId="50770C0E">
      <w:pPr>
        <w:spacing w:after="60"/>
      </w:pPr>
    </w:p>
    <w:tbl>
      <w:tblPr>
        <w:tblStyle w:val="12"/>
        <w:tblW w:w="0" w:type="auto"/>
        <w:tblInd w:w="0" w:type="dxa"/>
        <w:tblLayout w:type="fixed"/>
        <w:tblCellMar>
          <w:top w:w="0" w:type="dxa"/>
          <w:left w:w="108" w:type="dxa"/>
          <w:bottom w:w="0" w:type="dxa"/>
          <w:right w:w="108" w:type="dxa"/>
        </w:tblCellMar>
      </w:tblPr>
      <w:tblGrid>
        <w:gridCol w:w="9360"/>
      </w:tblGrid>
      <w:tr w14:paraId="685445F9">
        <w:tblPrEx>
          <w:tblCellMar>
            <w:top w:w="0" w:type="dxa"/>
            <w:left w:w="108" w:type="dxa"/>
            <w:bottom w:w="0" w:type="dxa"/>
            <w:right w:w="108" w:type="dxa"/>
          </w:tblCellMar>
        </w:tblPrEx>
        <w:tc>
          <w:tcPr>
            <w:tcW w:w="9360" w:type="dxa"/>
            <w:shd w:val="clear" w:color="auto" w:fill="FCE4D6"/>
            <w:tcMar>
              <w:top w:w="120" w:type="dxa"/>
              <w:left w:w="160" w:type="dxa"/>
              <w:bottom w:w="120" w:type="dxa"/>
              <w:right w:w="160" w:type="dxa"/>
            </w:tcMar>
          </w:tcPr>
          <w:p w14:paraId="2B5EC10D">
            <w:pPr>
              <w:spacing w:after="40"/>
            </w:pPr>
            <w:r>
              <w:rPr>
                <w:rFonts w:ascii="Calibri" w:hAnsi="Calibri"/>
                <w:b/>
                <w:color w:val="0B2545"/>
                <w:sz w:val="21"/>
              </w:rPr>
              <w:t xml:space="preserve">Why this matters: </w:t>
            </w:r>
            <w:r>
              <w:rPr>
                <w:rFonts w:ascii="Calibri" w:hAnsi="Calibri"/>
                <w:color w:val="000000"/>
                <w:sz w:val="21"/>
              </w:rPr>
              <w:t>The old source load used SELECT DISTINCT in Bronze, removing 1,081 exact duplicate source records. This violated the Bronze principle. The final process fixes this by preserving the raw file entirely in Bronze and removing exact duplicate records only in Silver.</w:t>
            </w:r>
          </w:p>
        </w:tc>
      </w:tr>
    </w:tbl>
    <w:p w14:paraId="6C970A53">
      <w:pPr>
        <w:spacing w:after="40"/>
      </w:pPr>
    </w:p>
    <w:p w14:paraId="5A12AF00">
      <w:pPr>
        <w:pStyle w:val="2"/>
      </w:pPr>
      <w:r>
        <w:rPr>
          <w:rFonts w:ascii="Calibri" w:hAnsi="Calibri"/>
          <w:b/>
          <w:color w:val="2E74B5"/>
          <w:sz w:val="32"/>
        </w:rPr>
        <w:t>3. Bronze layer evolution</w:t>
      </w:r>
    </w:p>
    <w:p w14:paraId="6AFD7B26">
      <w:pPr>
        <w:pStyle w:val="3"/>
      </w:pPr>
      <w:r>
        <w:rPr>
          <w:rFonts w:ascii="Calibri" w:hAnsi="Calibri"/>
          <w:b/>
          <w:color w:val="2E74B5"/>
          <w:sz w:val="26"/>
        </w:rPr>
        <w:t>3.1 Earlier Bronze version</w:t>
      </w:r>
    </w:p>
    <w:p w14:paraId="21E95B9E">
      <w:pPr>
        <w:pStyle w:val="23"/>
        <w:spacing w:after="80" w:line="276" w:lineRule="auto"/>
      </w:pPr>
      <w:r>
        <w:rPr>
          <w:rFonts w:ascii="Calibri" w:hAnsi="Calibri"/>
          <w:color w:val="000000"/>
          <w:sz w:val="21"/>
        </w:rPr>
        <w:t>Loaded the Kaggle creditcard.csv data from S3 landing into workspace.bronze.transactions_raw.</w:t>
      </w:r>
    </w:p>
    <w:p w14:paraId="1F265B47">
      <w:pPr>
        <w:pStyle w:val="23"/>
        <w:spacing w:after="80" w:line="276" w:lineRule="auto"/>
      </w:pPr>
      <w:r>
        <w:rPr>
          <w:rFonts w:ascii="Calibri" w:hAnsi="Calibri"/>
          <w:color w:val="000000"/>
          <w:sz w:val="21"/>
        </w:rPr>
        <w:t>Added useful operational metadata such as source file name, S3 path, batch ID, ingestion date, load timestamp, and pipeline run ID.</w:t>
      </w:r>
    </w:p>
    <w:p w14:paraId="7A83783D">
      <w:pPr>
        <w:pStyle w:val="23"/>
        <w:spacing w:after="80" w:line="276" w:lineRule="auto"/>
      </w:pPr>
      <w:r>
        <w:rPr>
          <w:rFonts w:ascii="Calibri" w:hAnsi="Calibri"/>
          <w:color w:val="000000"/>
          <w:sz w:val="21"/>
        </w:rPr>
        <w:t>Maintained an audit table in workspace.ops.processed_files.</w:t>
      </w:r>
    </w:p>
    <w:p w14:paraId="4873BFFA">
      <w:pPr>
        <w:pStyle w:val="23"/>
        <w:spacing w:after="80" w:line="276" w:lineRule="auto"/>
      </w:pPr>
      <w:r>
        <w:rPr>
          <w:rFonts w:ascii="Calibri" w:hAnsi="Calibri"/>
          <w:color w:val="000000"/>
          <w:sz w:val="21"/>
        </w:rPr>
        <w:t>However, SELECT DISTINCT / duplicate removal was performed during Bronze ingestion, reducing the historical original-file count from 284,807 to 283,726. This is the behavior being corrected.</w:t>
      </w:r>
    </w:p>
    <w:p w14:paraId="5B7F2A22">
      <w:pPr>
        <w:pStyle w:val="3"/>
      </w:pPr>
      <w:r>
        <w:rPr>
          <w:rFonts w:ascii="Calibri" w:hAnsi="Calibri"/>
          <w:b/>
          <w:color w:val="2E74B5"/>
          <w:sz w:val="26"/>
        </w:rPr>
        <w:t>3.2 Final Bronze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652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4" w:type="dxa"/>
            <w:shd w:val="clear" w:color="auto" w:fill="E8EEF5"/>
            <w:tcMar>
              <w:top w:w="80" w:type="dxa"/>
              <w:left w:w="120" w:type="dxa"/>
              <w:bottom w:w="80" w:type="dxa"/>
              <w:right w:w="120" w:type="dxa"/>
            </w:tcMar>
            <w:vAlign w:val="center"/>
          </w:tcPr>
          <w:p w14:paraId="6A30876D">
            <w:pPr>
              <w:spacing w:after="0" w:line="240" w:lineRule="auto"/>
            </w:pPr>
            <w:r>
              <w:rPr>
                <w:rFonts w:ascii="Calibri" w:hAnsi="Calibri"/>
                <w:b/>
                <w:color w:val="0B2545"/>
                <w:sz w:val="19"/>
              </w:rPr>
              <w:t>Change</w:t>
            </w:r>
          </w:p>
        </w:tc>
        <w:tc>
          <w:tcPr>
            <w:tcW w:w="4176" w:type="dxa"/>
            <w:shd w:val="clear" w:color="auto" w:fill="E8EEF5"/>
            <w:tcMar>
              <w:top w:w="80" w:type="dxa"/>
              <w:left w:w="120" w:type="dxa"/>
              <w:bottom w:w="80" w:type="dxa"/>
              <w:right w:w="120" w:type="dxa"/>
            </w:tcMar>
            <w:vAlign w:val="center"/>
          </w:tcPr>
          <w:p w14:paraId="51AFAFBC">
            <w:pPr>
              <w:spacing w:after="0" w:line="240" w:lineRule="auto"/>
            </w:pPr>
            <w:r>
              <w:rPr>
                <w:rFonts w:ascii="Calibri" w:hAnsi="Calibri"/>
                <w:b/>
                <w:color w:val="0B2545"/>
                <w:sz w:val="19"/>
              </w:rPr>
              <w:t>Final behavior</w:t>
            </w:r>
          </w:p>
        </w:tc>
        <w:tc>
          <w:tcPr>
            <w:tcW w:w="3240" w:type="dxa"/>
            <w:shd w:val="clear" w:color="auto" w:fill="E8EEF5"/>
            <w:tcMar>
              <w:top w:w="80" w:type="dxa"/>
              <w:left w:w="120" w:type="dxa"/>
              <w:bottom w:w="80" w:type="dxa"/>
              <w:right w:w="120" w:type="dxa"/>
            </w:tcMar>
            <w:vAlign w:val="center"/>
          </w:tcPr>
          <w:p w14:paraId="46EC89E1">
            <w:pPr>
              <w:spacing w:after="0" w:line="240" w:lineRule="auto"/>
            </w:pPr>
            <w:r>
              <w:rPr>
                <w:rFonts w:ascii="Calibri" w:hAnsi="Calibri"/>
                <w:b/>
                <w:color w:val="0B2545"/>
                <w:sz w:val="19"/>
              </w:rPr>
              <w:t>Reason</w:t>
            </w:r>
          </w:p>
        </w:tc>
      </w:tr>
      <w:tr w14:paraId="5F0E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2B23B831">
            <w:pPr>
              <w:spacing w:after="0" w:line="240" w:lineRule="auto"/>
            </w:pPr>
            <w:r>
              <w:rPr>
                <w:rFonts w:ascii="Calibri" w:hAnsi="Calibri"/>
                <w:color w:val="000000"/>
                <w:sz w:val="18"/>
              </w:rPr>
              <w:t>Raw preservation</w:t>
            </w:r>
          </w:p>
        </w:tc>
        <w:tc>
          <w:tcPr>
            <w:tcW w:w="3120" w:type="dxa"/>
            <w:tcMar>
              <w:top w:w="80" w:type="dxa"/>
              <w:left w:w="120" w:type="dxa"/>
              <w:bottom w:w="80" w:type="dxa"/>
              <w:right w:w="120" w:type="dxa"/>
            </w:tcMar>
            <w:vAlign w:val="center"/>
          </w:tcPr>
          <w:p w14:paraId="473F2B95">
            <w:pPr>
              <w:spacing w:after="0" w:line="240" w:lineRule="auto"/>
            </w:pPr>
            <w:r>
              <w:rPr>
                <w:rFonts w:ascii="Calibri" w:hAnsi="Calibri"/>
                <w:color w:val="000000"/>
                <w:sz w:val="18"/>
              </w:rPr>
              <w:t>Use SELECT src.* rather than SELECT DISTINCT.</w:t>
            </w:r>
          </w:p>
        </w:tc>
        <w:tc>
          <w:tcPr>
            <w:tcW w:w="3120" w:type="dxa"/>
            <w:tcMar>
              <w:top w:w="80" w:type="dxa"/>
              <w:left w:w="120" w:type="dxa"/>
              <w:bottom w:w="80" w:type="dxa"/>
              <w:right w:w="120" w:type="dxa"/>
            </w:tcMar>
            <w:vAlign w:val="center"/>
          </w:tcPr>
          <w:p w14:paraId="7E22F6D6">
            <w:pPr>
              <w:spacing w:after="0" w:line="240" w:lineRule="auto"/>
            </w:pPr>
            <w:r>
              <w:rPr>
                <w:rFonts w:ascii="Calibri" w:hAnsi="Calibri"/>
                <w:color w:val="000000"/>
                <w:sz w:val="18"/>
              </w:rPr>
              <w:t>Bronze is the auditable source-of-truth layer; no genuine source record is discarded.</w:t>
            </w:r>
          </w:p>
        </w:tc>
      </w:tr>
      <w:tr w14:paraId="0C06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D344A97">
            <w:pPr>
              <w:spacing w:after="0" w:line="240" w:lineRule="auto"/>
            </w:pPr>
            <w:r>
              <w:rPr>
                <w:rFonts w:ascii="Calibri" w:hAnsi="Calibri"/>
                <w:color w:val="000000"/>
                <w:sz w:val="18"/>
              </w:rPr>
              <w:t>Operational audit fields</w:t>
            </w:r>
          </w:p>
        </w:tc>
        <w:tc>
          <w:tcPr>
            <w:tcW w:w="3120" w:type="dxa"/>
            <w:tcMar>
              <w:top w:w="80" w:type="dxa"/>
              <w:left w:w="120" w:type="dxa"/>
              <w:bottom w:w="80" w:type="dxa"/>
              <w:right w:w="120" w:type="dxa"/>
            </w:tcMar>
            <w:vAlign w:val="center"/>
          </w:tcPr>
          <w:p w14:paraId="488F27E7">
            <w:pPr>
              <w:spacing w:after="0" w:line="240" w:lineRule="auto"/>
            </w:pPr>
            <w:r>
              <w:rPr>
                <w:rFonts w:ascii="Calibri" w:hAnsi="Calibri"/>
                <w:color w:val="000000"/>
                <w:sz w:val="18"/>
              </w:rPr>
              <w:t>load_ts, source_file, source_s3_uri, batch_id, ingestion_date, pipeline_run_id.</w:t>
            </w:r>
          </w:p>
        </w:tc>
        <w:tc>
          <w:tcPr>
            <w:tcW w:w="3120" w:type="dxa"/>
            <w:tcMar>
              <w:top w:w="80" w:type="dxa"/>
              <w:left w:w="120" w:type="dxa"/>
              <w:bottom w:w="80" w:type="dxa"/>
              <w:right w:w="120" w:type="dxa"/>
            </w:tcMar>
            <w:vAlign w:val="center"/>
          </w:tcPr>
          <w:p w14:paraId="19892DEE">
            <w:pPr>
              <w:spacing w:after="0" w:line="240" w:lineRule="auto"/>
            </w:pPr>
            <w:r>
              <w:rPr>
                <w:rFonts w:ascii="Calibri" w:hAnsi="Calibri"/>
                <w:color w:val="000000"/>
                <w:sz w:val="18"/>
              </w:rPr>
              <w:t>Enables lineage, troubleshooting, reconciliation and repeatable batch reporting.</w:t>
            </w:r>
          </w:p>
        </w:tc>
      </w:tr>
      <w:tr w14:paraId="26DD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446075B">
            <w:pPr>
              <w:spacing w:after="0" w:line="240" w:lineRule="auto"/>
            </w:pPr>
            <w:r>
              <w:rPr>
                <w:rFonts w:ascii="Calibri" w:hAnsi="Calibri"/>
                <w:color w:val="000000"/>
                <w:sz w:val="18"/>
              </w:rPr>
              <w:t>Content identity</w:t>
            </w:r>
          </w:p>
        </w:tc>
        <w:tc>
          <w:tcPr>
            <w:tcW w:w="3120" w:type="dxa"/>
            <w:tcMar>
              <w:top w:w="80" w:type="dxa"/>
              <w:left w:w="120" w:type="dxa"/>
              <w:bottom w:w="80" w:type="dxa"/>
              <w:right w:w="120" w:type="dxa"/>
            </w:tcMar>
            <w:vAlign w:val="center"/>
          </w:tcPr>
          <w:p w14:paraId="7B089B14">
            <w:pPr>
              <w:spacing w:after="0" w:line="240" w:lineRule="auto"/>
            </w:pPr>
            <w:r>
              <w:rPr>
                <w:rFonts w:ascii="Calibri" w:hAnsi="Calibri"/>
                <w:color w:val="000000"/>
                <w:sz w:val="18"/>
              </w:rPr>
              <w:t>Record source ETag, file size and SHA-256 content hash in audit records.</w:t>
            </w:r>
          </w:p>
        </w:tc>
        <w:tc>
          <w:tcPr>
            <w:tcW w:w="3120" w:type="dxa"/>
            <w:tcMar>
              <w:top w:w="80" w:type="dxa"/>
              <w:left w:w="120" w:type="dxa"/>
              <w:bottom w:w="80" w:type="dxa"/>
              <w:right w:w="120" w:type="dxa"/>
            </w:tcMar>
            <w:vAlign w:val="center"/>
          </w:tcPr>
          <w:p w14:paraId="54B39B95">
            <w:pPr>
              <w:spacing w:after="0" w:line="240" w:lineRule="auto"/>
            </w:pPr>
            <w:r>
              <w:rPr>
                <w:rFonts w:ascii="Calibri" w:hAnsi="Calibri"/>
                <w:color w:val="000000"/>
                <w:sz w:val="18"/>
              </w:rPr>
              <w:t>Detects same content even if another file name is used.</w:t>
            </w:r>
          </w:p>
        </w:tc>
      </w:tr>
      <w:tr w14:paraId="2335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B11238F">
            <w:pPr>
              <w:spacing w:after="0" w:line="240" w:lineRule="auto"/>
            </w:pPr>
            <w:r>
              <w:rPr>
                <w:rFonts w:ascii="Calibri" w:hAnsi="Calibri"/>
                <w:color w:val="000000"/>
                <w:sz w:val="18"/>
              </w:rPr>
              <w:t>File-level idempotency</w:t>
            </w:r>
          </w:p>
        </w:tc>
        <w:tc>
          <w:tcPr>
            <w:tcW w:w="3120" w:type="dxa"/>
            <w:tcMar>
              <w:top w:w="80" w:type="dxa"/>
              <w:left w:w="120" w:type="dxa"/>
              <w:bottom w:w="80" w:type="dxa"/>
              <w:right w:w="120" w:type="dxa"/>
            </w:tcMar>
            <w:vAlign w:val="center"/>
          </w:tcPr>
          <w:p w14:paraId="76BC3DB7">
            <w:pPr>
              <w:spacing w:after="0" w:line="240" w:lineRule="auto"/>
            </w:pPr>
            <w:r>
              <w:rPr>
                <w:rFonts w:ascii="Calibri" w:hAnsi="Calibri"/>
                <w:color w:val="000000"/>
                <w:sz w:val="18"/>
              </w:rPr>
              <w:t>Check successful file/content audit records before normal processing.</w:t>
            </w:r>
          </w:p>
        </w:tc>
        <w:tc>
          <w:tcPr>
            <w:tcW w:w="3120" w:type="dxa"/>
            <w:tcMar>
              <w:top w:w="80" w:type="dxa"/>
              <w:left w:w="120" w:type="dxa"/>
              <w:bottom w:w="80" w:type="dxa"/>
              <w:right w:w="120" w:type="dxa"/>
            </w:tcMar>
            <w:vAlign w:val="center"/>
          </w:tcPr>
          <w:p w14:paraId="3B6B1194">
            <w:pPr>
              <w:spacing w:after="0" w:line="240" w:lineRule="auto"/>
            </w:pPr>
            <w:r>
              <w:rPr>
                <w:rFonts w:ascii="Calibri" w:hAnsi="Calibri"/>
                <w:color w:val="000000"/>
                <w:sz w:val="18"/>
              </w:rPr>
              <w:t>Avoids running the same source again.</w:t>
            </w:r>
          </w:p>
        </w:tc>
      </w:tr>
      <w:tr w14:paraId="13A5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7649A686">
            <w:pPr>
              <w:spacing w:after="0" w:line="240" w:lineRule="auto"/>
            </w:pPr>
            <w:r>
              <w:rPr>
                <w:rFonts w:ascii="Calibri" w:hAnsi="Calibri"/>
                <w:color w:val="000000"/>
                <w:sz w:val="18"/>
              </w:rPr>
              <w:t>Routing</w:t>
            </w:r>
          </w:p>
        </w:tc>
        <w:tc>
          <w:tcPr>
            <w:tcW w:w="3120" w:type="dxa"/>
            <w:tcMar>
              <w:top w:w="80" w:type="dxa"/>
              <w:left w:w="120" w:type="dxa"/>
              <w:bottom w:w="80" w:type="dxa"/>
              <w:right w:w="120" w:type="dxa"/>
            </w:tcMar>
            <w:vAlign w:val="center"/>
          </w:tcPr>
          <w:p w14:paraId="63CB472C">
            <w:pPr>
              <w:spacing w:after="0" w:line="240" w:lineRule="auto"/>
            </w:pPr>
            <w:r>
              <w:rPr>
                <w:rFonts w:ascii="Calibri" w:hAnsi="Calibri"/>
                <w:color w:val="000000"/>
                <w:sz w:val="18"/>
              </w:rPr>
              <w:t>Success moves from landing/ to archive/; repeated content goes to reject/duplicates/.</w:t>
            </w:r>
          </w:p>
        </w:tc>
        <w:tc>
          <w:tcPr>
            <w:tcW w:w="3120" w:type="dxa"/>
            <w:tcMar>
              <w:top w:w="80" w:type="dxa"/>
              <w:left w:w="120" w:type="dxa"/>
              <w:bottom w:w="80" w:type="dxa"/>
              <w:right w:w="120" w:type="dxa"/>
            </w:tcMar>
            <w:vAlign w:val="center"/>
          </w:tcPr>
          <w:p w14:paraId="6B100E0C">
            <w:pPr>
              <w:spacing w:after="0" w:line="240" w:lineRule="auto"/>
            </w:pPr>
            <w:r>
              <w:rPr>
                <w:rFonts w:ascii="Calibri" w:hAnsi="Calibri"/>
                <w:color w:val="000000"/>
                <w:sz w:val="18"/>
              </w:rPr>
              <w:t>Landing remains a queue; archive and reject provide operational evidence.</w:t>
            </w:r>
          </w:p>
        </w:tc>
      </w:tr>
      <w:tr w14:paraId="5C88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ACD2F6E">
            <w:pPr>
              <w:spacing w:after="0" w:line="240" w:lineRule="auto"/>
            </w:pPr>
            <w:r>
              <w:rPr>
                <w:rFonts w:ascii="Calibri" w:hAnsi="Calibri"/>
                <w:color w:val="000000"/>
                <w:sz w:val="18"/>
              </w:rPr>
              <w:t>Audit outcomes</w:t>
            </w:r>
          </w:p>
        </w:tc>
        <w:tc>
          <w:tcPr>
            <w:tcW w:w="3120" w:type="dxa"/>
            <w:tcMar>
              <w:top w:w="80" w:type="dxa"/>
              <w:left w:w="120" w:type="dxa"/>
              <w:bottom w:w="80" w:type="dxa"/>
              <w:right w:w="120" w:type="dxa"/>
            </w:tcMar>
            <w:vAlign w:val="center"/>
          </w:tcPr>
          <w:p w14:paraId="43D77951">
            <w:pPr>
              <w:spacing w:after="0" w:line="240" w:lineRule="auto"/>
            </w:pPr>
            <w:r>
              <w:rPr>
                <w:rFonts w:ascii="Calibri" w:hAnsi="Calibri"/>
                <w:color w:val="000000"/>
                <w:sz w:val="18"/>
              </w:rPr>
              <w:t>RUNNING, SUCCESS, FAILED, DUPLICATE_CONTENT with start/end timestamps, counts and errors.</w:t>
            </w:r>
          </w:p>
        </w:tc>
        <w:tc>
          <w:tcPr>
            <w:tcW w:w="3120" w:type="dxa"/>
            <w:tcMar>
              <w:top w:w="80" w:type="dxa"/>
              <w:left w:w="120" w:type="dxa"/>
              <w:bottom w:w="80" w:type="dxa"/>
              <w:right w:w="120" w:type="dxa"/>
            </w:tcMar>
            <w:vAlign w:val="center"/>
          </w:tcPr>
          <w:p w14:paraId="736B884F">
            <w:pPr>
              <w:spacing w:after="0" w:line="240" w:lineRule="auto"/>
            </w:pPr>
            <w:r>
              <w:rPr>
                <w:rFonts w:ascii="Calibri" w:hAnsi="Calibri"/>
                <w:color w:val="000000"/>
                <w:sz w:val="18"/>
              </w:rPr>
              <w:t>Gives a clear audit trail for reviewers and the team.</w:t>
            </w:r>
          </w:p>
        </w:tc>
      </w:tr>
    </w:tbl>
    <w:p w14:paraId="5FBF3F2A">
      <w:pPr>
        <w:spacing w:after="60"/>
      </w:pPr>
    </w:p>
    <w:p w14:paraId="4BE10BF8">
      <w:pPr>
        <w:pStyle w:val="2"/>
      </w:pPr>
      <w:r>
        <w:rPr>
          <w:rFonts w:ascii="Calibri" w:hAnsi="Calibri"/>
          <w:b/>
          <w:color w:val="2E74B5"/>
          <w:sz w:val="32"/>
        </w:rPr>
        <w:t>3.3 Bronze audit record</w:t>
      </w:r>
    </w:p>
    <w:p w14:paraId="7D346074">
      <w:pPr>
        <w:spacing w:after="120" w:line="264" w:lineRule="auto"/>
      </w:pPr>
      <w:r>
        <w:rPr>
          <w:rFonts w:ascii="Calibri" w:hAnsi="Calibri"/>
          <w:color w:val="000000"/>
          <w:sz w:val="22"/>
        </w:rPr>
        <w:t>Each file creates or updates one operational record in workspace.ops.processed_files. The audit record contains the source identity, target table, pipeline run, row counts, status, timestamps, error text, and content identity values. Dagster uses this evidence to decide whether a file is new, already processed, or a duplicate under a different name.</w:t>
      </w:r>
    </w:p>
    <w:p w14:paraId="3C407D33">
      <w:pPr>
        <w:pStyle w:val="2"/>
      </w:pPr>
      <w:r>
        <w:rPr>
          <w:rFonts w:ascii="Calibri" w:hAnsi="Calibri"/>
          <w:b/>
          <w:color w:val="2E74B5"/>
          <w:sz w:val="32"/>
        </w:rPr>
        <w:t>4. Silver layer evolution</w:t>
      </w:r>
    </w:p>
    <w:p w14:paraId="6C192DFE">
      <w:pPr>
        <w:pStyle w:val="3"/>
      </w:pPr>
      <w:r>
        <w:rPr>
          <w:rFonts w:ascii="Calibri" w:hAnsi="Calibri"/>
          <w:b/>
          <w:color w:val="2E74B5"/>
          <w:sz w:val="26"/>
        </w:rPr>
        <w:t>4.1 What Silver does in the final design</w:t>
      </w:r>
    </w:p>
    <w:p w14:paraId="1CED38DC">
      <w:pPr>
        <w:spacing w:after="120" w:line="264" w:lineRule="auto"/>
      </w:pPr>
      <w:r>
        <w:rPr>
          <w:rFonts w:ascii="Calibri" w:hAnsi="Calibri"/>
          <w:color w:val="000000"/>
          <w:sz w:val="22"/>
        </w:rPr>
        <w:t>Silver reads the raw Bronze batch, applies standard data quality checks, removes only exact duplicate transaction records, standardizes fields, creates analysis-ready time and amount attributes, and produces explainable review-priority signals. It does not claim that anonymized V1-V28 columns are customer, card, merchant, or location attributes.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9FA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24719DF1">
            <w:pPr>
              <w:spacing w:after="0" w:line="240" w:lineRule="auto"/>
            </w:pPr>
            <w:r>
              <w:rPr>
                <w:rFonts w:ascii="Calibri" w:hAnsi="Calibri"/>
                <w:b/>
                <w:color w:val="0B2545"/>
                <w:sz w:val="19"/>
              </w:rPr>
              <w:t>Field group</w:t>
            </w:r>
          </w:p>
        </w:tc>
        <w:tc>
          <w:tcPr>
            <w:tcW w:w="4896" w:type="dxa"/>
            <w:shd w:val="clear" w:color="auto" w:fill="E8EEF5"/>
            <w:tcMar>
              <w:top w:w="80" w:type="dxa"/>
              <w:left w:w="120" w:type="dxa"/>
              <w:bottom w:w="80" w:type="dxa"/>
              <w:right w:w="120" w:type="dxa"/>
            </w:tcMar>
            <w:vAlign w:val="center"/>
          </w:tcPr>
          <w:p w14:paraId="36C29A37">
            <w:pPr>
              <w:spacing w:after="0" w:line="240" w:lineRule="auto"/>
            </w:pPr>
            <w:r>
              <w:rPr>
                <w:rFonts w:ascii="Calibri" w:hAnsi="Calibri"/>
                <w:b/>
                <w:color w:val="0B2545"/>
                <w:sz w:val="19"/>
              </w:rPr>
              <w:t>Final retained fields / logic</w:t>
            </w:r>
          </w:p>
        </w:tc>
        <w:tc>
          <w:tcPr>
            <w:tcW w:w="2664" w:type="dxa"/>
            <w:shd w:val="clear" w:color="auto" w:fill="E8EEF5"/>
            <w:tcMar>
              <w:top w:w="80" w:type="dxa"/>
              <w:left w:w="120" w:type="dxa"/>
              <w:bottom w:w="80" w:type="dxa"/>
              <w:right w:w="120" w:type="dxa"/>
            </w:tcMar>
            <w:vAlign w:val="center"/>
          </w:tcPr>
          <w:p w14:paraId="523AFADE">
            <w:pPr>
              <w:spacing w:after="0" w:line="240" w:lineRule="auto"/>
            </w:pPr>
            <w:r>
              <w:rPr>
                <w:rFonts w:ascii="Calibri" w:hAnsi="Calibri"/>
                <w:b/>
                <w:color w:val="0B2545"/>
                <w:sz w:val="19"/>
              </w:rPr>
              <w:t>Why retained</w:t>
            </w:r>
          </w:p>
        </w:tc>
      </w:tr>
      <w:tr w14:paraId="2502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9BC59AC">
            <w:pPr>
              <w:spacing w:after="0" w:line="240" w:lineRule="auto"/>
            </w:pPr>
            <w:r>
              <w:rPr>
                <w:rFonts w:ascii="Calibri" w:hAnsi="Calibri"/>
                <w:color w:val="000000"/>
                <w:sz w:val="18"/>
              </w:rPr>
              <w:t>Source lineage</w:t>
            </w:r>
          </w:p>
        </w:tc>
        <w:tc>
          <w:tcPr>
            <w:tcW w:w="3120" w:type="dxa"/>
            <w:tcMar>
              <w:top w:w="80" w:type="dxa"/>
              <w:left w:w="120" w:type="dxa"/>
              <w:bottom w:w="80" w:type="dxa"/>
              <w:right w:w="120" w:type="dxa"/>
            </w:tcMar>
            <w:vAlign w:val="center"/>
          </w:tcPr>
          <w:p w14:paraId="4D813084">
            <w:pPr>
              <w:spacing w:after="0" w:line="240" w:lineRule="auto"/>
            </w:pPr>
            <w:r>
              <w:rPr>
                <w:rFonts w:ascii="Calibri" w:hAnsi="Calibri"/>
                <w:color w:val="000000"/>
                <w:sz w:val="18"/>
              </w:rPr>
              <w:t>source_file, source_s3_uri, batch_id, ingestion_date, load_ts, pipeline_run_id, record_hash</w:t>
            </w:r>
          </w:p>
        </w:tc>
        <w:tc>
          <w:tcPr>
            <w:tcW w:w="3120" w:type="dxa"/>
            <w:tcMar>
              <w:top w:w="80" w:type="dxa"/>
              <w:left w:w="120" w:type="dxa"/>
              <w:bottom w:w="80" w:type="dxa"/>
              <w:right w:w="120" w:type="dxa"/>
            </w:tcMar>
            <w:vAlign w:val="center"/>
          </w:tcPr>
          <w:p w14:paraId="46BCA03C">
            <w:pPr>
              <w:spacing w:after="0" w:line="240" w:lineRule="auto"/>
            </w:pPr>
            <w:r>
              <w:rPr>
                <w:rFonts w:ascii="Calibri" w:hAnsi="Calibri"/>
                <w:color w:val="000000"/>
                <w:sz w:val="18"/>
              </w:rPr>
              <w:t>Keeps batch-level traceability through Databricks and Snowflake.</w:t>
            </w:r>
          </w:p>
        </w:tc>
      </w:tr>
      <w:tr w14:paraId="407B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11C33F6">
            <w:pPr>
              <w:spacing w:after="0" w:line="240" w:lineRule="auto"/>
            </w:pPr>
            <w:r>
              <w:rPr>
                <w:rFonts w:ascii="Calibri" w:hAnsi="Calibri"/>
                <w:color w:val="000000"/>
                <w:sz w:val="18"/>
              </w:rPr>
              <w:t>Original transaction data</w:t>
            </w:r>
          </w:p>
        </w:tc>
        <w:tc>
          <w:tcPr>
            <w:tcW w:w="3120" w:type="dxa"/>
            <w:tcMar>
              <w:top w:w="80" w:type="dxa"/>
              <w:left w:w="120" w:type="dxa"/>
              <w:bottom w:w="80" w:type="dxa"/>
              <w:right w:w="120" w:type="dxa"/>
            </w:tcMar>
            <w:vAlign w:val="center"/>
          </w:tcPr>
          <w:p w14:paraId="77CAF690">
            <w:pPr>
              <w:spacing w:after="0" w:line="240" w:lineRule="auto"/>
            </w:pPr>
            <w:r>
              <w:rPr>
                <w:rFonts w:ascii="Calibri" w:hAnsi="Calibri"/>
                <w:color w:val="000000"/>
                <w:sz w:val="18"/>
              </w:rPr>
              <w:t>Time, V1-V28 held as feature_01 to feature_28, Amount, Class</w:t>
            </w:r>
          </w:p>
        </w:tc>
        <w:tc>
          <w:tcPr>
            <w:tcW w:w="3120" w:type="dxa"/>
            <w:tcMar>
              <w:top w:w="80" w:type="dxa"/>
              <w:left w:w="120" w:type="dxa"/>
              <w:bottom w:w="80" w:type="dxa"/>
              <w:right w:w="120" w:type="dxa"/>
            </w:tcMar>
            <w:vAlign w:val="center"/>
          </w:tcPr>
          <w:p w14:paraId="19DCCE2C">
            <w:pPr>
              <w:spacing w:after="0" w:line="240" w:lineRule="auto"/>
            </w:pPr>
            <w:r>
              <w:rPr>
                <w:rFonts w:ascii="Calibri" w:hAnsi="Calibri"/>
                <w:color w:val="000000"/>
                <w:sz w:val="18"/>
              </w:rPr>
              <w:t>Preserves source data; V-features remain anonymized and are not given false business meanings.</w:t>
            </w:r>
          </w:p>
        </w:tc>
      </w:tr>
      <w:tr w14:paraId="3107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FB6A94C">
            <w:pPr>
              <w:spacing w:after="0" w:line="240" w:lineRule="auto"/>
            </w:pPr>
            <w:r>
              <w:rPr>
                <w:rFonts w:ascii="Calibri" w:hAnsi="Calibri"/>
                <w:color w:val="000000"/>
                <w:sz w:val="18"/>
              </w:rPr>
              <w:t>Identity and time</w:t>
            </w:r>
          </w:p>
        </w:tc>
        <w:tc>
          <w:tcPr>
            <w:tcW w:w="3120" w:type="dxa"/>
            <w:tcMar>
              <w:top w:w="80" w:type="dxa"/>
              <w:left w:w="120" w:type="dxa"/>
              <w:bottom w:w="80" w:type="dxa"/>
              <w:right w:w="120" w:type="dxa"/>
            </w:tcMar>
            <w:vAlign w:val="center"/>
          </w:tcPr>
          <w:p w14:paraId="6810B1FD">
            <w:pPr>
              <w:spacing w:after="0" w:line="240" w:lineRule="auto"/>
            </w:pPr>
            <w:r>
              <w:rPr>
                <w:rFonts w:ascii="Calibri" w:hAnsi="Calibri"/>
                <w:color w:val="000000"/>
                <w:sz w:val="18"/>
              </w:rPr>
              <w:t>transaction_id, transaction_timestamp, transaction_date, transaction_hour, time_of_day, time_band</w:t>
            </w:r>
          </w:p>
        </w:tc>
        <w:tc>
          <w:tcPr>
            <w:tcW w:w="3120" w:type="dxa"/>
            <w:tcMar>
              <w:top w:w="80" w:type="dxa"/>
              <w:left w:w="120" w:type="dxa"/>
              <w:bottom w:w="80" w:type="dxa"/>
              <w:right w:w="120" w:type="dxa"/>
            </w:tcMar>
            <w:vAlign w:val="center"/>
          </w:tcPr>
          <w:p w14:paraId="1DCA5126">
            <w:pPr>
              <w:spacing w:after="0" w:line="240" w:lineRule="auto"/>
            </w:pPr>
            <w:r>
              <w:rPr>
                <w:rFonts w:ascii="Calibri" w:hAnsi="Calibri"/>
                <w:color w:val="000000"/>
                <w:sz w:val="18"/>
              </w:rPr>
              <w:t>Supports time trends and dashboard filtering; timestamp is synthetically anchored to 1 Aug 2026 plus elapsed Time seconds.</w:t>
            </w:r>
          </w:p>
        </w:tc>
      </w:tr>
      <w:tr w14:paraId="0E29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FE4D17C">
            <w:pPr>
              <w:spacing w:after="0" w:line="240" w:lineRule="auto"/>
            </w:pPr>
            <w:r>
              <w:rPr>
                <w:rFonts w:ascii="Calibri" w:hAnsi="Calibri"/>
                <w:color w:val="000000"/>
                <w:sz w:val="18"/>
              </w:rPr>
              <w:t>Amount analysis</w:t>
            </w:r>
          </w:p>
        </w:tc>
        <w:tc>
          <w:tcPr>
            <w:tcW w:w="3120" w:type="dxa"/>
            <w:tcMar>
              <w:top w:w="80" w:type="dxa"/>
              <w:left w:w="120" w:type="dxa"/>
              <w:bottom w:w="80" w:type="dxa"/>
              <w:right w:w="120" w:type="dxa"/>
            </w:tcMar>
            <w:vAlign w:val="center"/>
          </w:tcPr>
          <w:p w14:paraId="0536FDBE">
            <w:pPr>
              <w:spacing w:after="0" w:line="240" w:lineRule="auto"/>
            </w:pPr>
            <w:r>
              <w:rPr>
                <w:rFonts w:ascii="Calibri" w:hAnsi="Calibri"/>
                <w:color w:val="000000"/>
                <w:sz w:val="18"/>
              </w:rPr>
              <w:t>amount, amount_bucket, amount_percentile, amount_z_score, amount_outlier_flag</w:t>
            </w:r>
          </w:p>
        </w:tc>
        <w:tc>
          <w:tcPr>
            <w:tcW w:w="3120" w:type="dxa"/>
            <w:tcMar>
              <w:top w:w="80" w:type="dxa"/>
              <w:left w:w="120" w:type="dxa"/>
              <w:bottom w:w="80" w:type="dxa"/>
              <w:right w:w="120" w:type="dxa"/>
            </w:tcMar>
            <w:vAlign w:val="center"/>
          </w:tcPr>
          <w:p w14:paraId="68FFBD27">
            <w:pPr>
              <w:spacing w:after="0" w:line="240" w:lineRule="auto"/>
            </w:pPr>
            <w:r>
              <w:rPr>
                <w:rFonts w:ascii="Calibri" w:hAnsi="Calibri"/>
                <w:color w:val="000000"/>
                <w:sz w:val="18"/>
              </w:rPr>
              <w:t>Supports distribution analysis and explains unusual amount context without claiming that amount alone means fraud.</w:t>
            </w:r>
          </w:p>
        </w:tc>
      </w:tr>
      <w:tr w14:paraId="1CD6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1AFC758">
            <w:pPr>
              <w:spacing w:after="0" w:line="240" w:lineRule="auto"/>
            </w:pPr>
            <w:r>
              <w:rPr>
                <w:rFonts w:ascii="Calibri" w:hAnsi="Calibri"/>
                <w:color w:val="000000"/>
                <w:sz w:val="18"/>
              </w:rPr>
              <w:t>Historical label</w:t>
            </w:r>
          </w:p>
        </w:tc>
        <w:tc>
          <w:tcPr>
            <w:tcW w:w="3120" w:type="dxa"/>
            <w:tcMar>
              <w:top w:w="80" w:type="dxa"/>
              <w:left w:w="120" w:type="dxa"/>
              <w:bottom w:w="80" w:type="dxa"/>
              <w:right w:w="120" w:type="dxa"/>
            </w:tcMar>
            <w:vAlign w:val="center"/>
          </w:tcPr>
          <w:p w14:paraId="1977D6A5">
            <w:pPr>
              <w:spacing w:after="0" w:line="240" w:lineRule="auto"/>
            </w:pPr>
            <w:r>
              <w:rPr>
                <w:rFonts w:ascii="Calibri" w:hAnsi="Calibri"/>
                <w:color w:val="000000"/>
                <w:sz w:val="18"/>
              </w:rPr>
              <w:t>fraud_label: Class 0 = Legitimate, Class 1 = Fraud</w:t>
            </w:r>
          </w:p>
        </w:tc>
        <w:tc>
          <w:tcPr>
            <w:tcW w:w="3120" w:type="dxa"/>
            <w:tcMar>
              <w:top w:w="80" w:type="dxa"/>
              <w:left w:w="120" w:type="dxa"/>
              <w:bottom w:w="80" w:type="dxa"/>
              <w:right w:w="120" w:type="dxa"/>
            </w:tcMar>
            <w:vAlign w:val="center"/>
          </w:tcPr>
          <w:p w14:paraId="495C42AB">
            <w:pPr>
              <w:spacing w:after="0" w:line="240" w:lineRule="auto"/>
            </w:pPr>
            <w:r>
              <w:rPr>
                <w:rFonts w:ascii="Calibri" w:hAnsi="Calibri"/>
                <w:color w:val="000000"/>
                <w:sz w:val="18"/>
              </w:rPr>
              <w:t>Used only to validate and describe historic dataset results; never used as the review-priority input.</w:t>
            </w:r>
          </w:p>
        </w:tc>
      </w:tr>
      <w:tr w14:paraId="5568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6CB2CCD">
            <w:pPr>
              <w:spacing w:after="0" w:line="240" w:lineRule="auto"/>
            </w:pPr>
            <w:r>
              <w:rPr>
                <w:rFonts w:ascii="Calibri" w:hAnsi="Calibri"/>
                <w:color w:val="000000"/>
                <w:sz w:val="18"/>
              </w:rPr>
              <w:t>Review signals</w:t>
            </w:r>
          </w:p>
        </w:tc>
        <w:tc>
          <w:tcPr>
            <w:tcW w:w="3120" w:type="dxa"/>
            <w:tcMar>
              <w:top w:w="80" w:type="dxa"/>
              <w:left w:w="120" w:type="dxa"/>
              <w:bottom w:w="80" w:type="dxa"/>
              <w:right w:w="120" w:type="dxa"/>
            </w:tcMar>
            <w:vAlign w:val="center"/>
          </w:tcPr>
          <w:p w14:paraId="31C94FEB">
            <w:pPr>
              <w:spacing w:after="0" w:line="240" w:lineRule="auto"/>
            </w:pPr>
            <w:r>
              <w:rPr>
                <w:rFonts w:ascii="Calibri" w:hAnsi="Calibri"/>
                <w:color w:val="000000"/>
                <w:sz w:val="18"/>
              </w:rPr>
              <w:t>rapid_repeat_flag, repeated_anonymized_pattern_flag, review_score, review_priority, review_reason</w:t>
            </w:r>
          </w:p>
        </w:tc>
        <w:tc>
          <w:tcPr>
            <w:tcW w:w="3120" w:type="dxa"/>
            <w:tcMar>
              <w:top w:w="80" w:type="dxa"/>
              <w:left w:w="120" w:type="dxa"/>
              <w:bottom w:w="80" w:type="dxa"/>
              <w:right w:w="120" w:type="dxa"/>
            </w:tcMar>
            <w:vAlign w:val="center"/>
          </w:tcPr>
          <w:p w14:paraId="1449D41E">
            <w:pPr>
              <w:spacing w:after="0" w:line="240" w:lineRule="auto"/>
            </w:pPr>
            <w:r>
              <w:rPr>
                <w:rFonts w:ascii="Calibri" w:hAnsi="Calibri"/>
                <w:color w:val="000000"/>
                <w:sz w:val="18"/>
              </w:rPr>
              <w:t>Creates an explainable analyst queue based on behavior signals rather than Class.</w:t>
            </w:r>
          </w:p>
        </w:tc>
      </w:tr>
    </w:tbl>
    <w:p w14:paraId="77F4B0B7">
      <w:pPr>
        <w:spacing w:after="60"/>
      </w:pPr>
    </w:p>
    <w:p w14:paraId="4A81A55E">
      <w:pPr>
        <w:pStyle w:val="3"/>
      </w:pPr>
      <w:r>
        <w:rPr>
          <w:rFonts w:ascii="Calibri" w:hAnsi="Calibri"/>
          <w:b/>
          <w:color w:val="2E74B5"/>
          <w:sz w:val="26"/>
        </w:rPr>
        <w:t>4.2 Removed from the final stored Silver output</w:t>
      </w:r>
    </w:p>
    <w:p w14:paraId="0CD52DC1">
      <w:pPr>
        <w:spacing w:after="120" w:line="264" w:lineRule="auto"/>
      </w:pPr>
      <w:r>
        <w:rPr>
          <w:rFonts w:ascii="Calibri" w:hAnsi="Calibri"/>
          <w:color w:val="000000"/>
          <w:sz w:val="22"/>
        </w:rPr>
        <w:t>The earlier notebook had several fields that were not consumed by Gold, Streamlit, or the review rule. These should be removed from the final persisted Silver table to keep the model understandable and maintainable.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E44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816" w:type="dxa"/>
            <w:shd w:val="clear" w:color="auto" w:fill="E8EEF5"/>
            <w:tcMar>
              <w:top w:w="80" w:type="dxa"/>
              <w:left w:w="120" w:type="dxa"/>
              <w:bottom w:w="80" w:type="dxa"/>
              <w:right w:w="120" w:type="dxa"/>
            </w:tcMar>
            <w:vAlign w:val="center"/>
          </w:tcPr>
          <w:p w14:paraId="5ACE5F71">
            <w:pPr>
              <w:spacing w:after="0" w:line="240" w:lineRule="auto"/>
            </w:pPr>
            <w:r>
              <w:rPr>
                <w:rFonts w:ascii="Calibri" w:hAnsi="Calibri"/>
                <w:b/>
                <w:color w:val="0B2545"/>
                <w:sz w:val="19"/>
              </w:rPr>
              <w:t>Removed field / group</w:t>
            </w:r>
          </w:p>
        </w:tc>
        <w:tc>
          <w:tcPr>
            <w:tcW w:w="5544" w:type="dxa"/>
            <w:shd w:val="clear" w:color="auto" w:fill="E8EEF5"/>
            <w:tcMar>
              <w:top w:w="80" w:type="dxa"/>
              <w:left w:w="120" w:type="dxa"/>
              <w:bottom w:w="80" w:type="dxa"/>
              <w:right w:w="120" w:type="dxa"/>
            </w:tcMar>
            <w:vAlign w:val="center"/>
          </w:tcPr>
          <w:p w14:paraId="5E8ACA40">
            <w:pPr>
              <w:spacing w:after="0" w:line="240" w:lineRule="auto"/>
            </w:pPr>
            <w:r>
              <w:rPr>
                <w:rFonts w:ascii="Calibri" w:hAnsi="Calibri"/>
                <w:b/>
                <w:color w:val="0B2545"/>
                <w:sz w:val="19"/>
              </w:rPr>
              <w:t>Why removed</w:t>
            </w:r>
          </w:p>
        </w:tc>
      </w:tr>
      <w:tr w14:paraId="7BB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3F1F1AF5">
            <w:pPr>
              <w:spacing w:after="0" w:line="240" w:lineRule="auto"/>
            </w:pPr>
            <w:r>
              <w:rPr>
                <w:rFonts w:ascii="Calibri" w:hAnsi="Calibri"/>
                <w:color w:val="000000"/>
                <w:sz w:val="18"/>
              </w:rPr>
              <w:t>potential_risk_band; review_required</w:t>
            </w:r>
          </w:p>
        </w:tc>
        <w:tc>
          <w:tcPr>
            <w:tcW w:w="4680" w:type="dxa"/>
            <w:tcMar>
              <w:top w:w="80" w:type="dxa"/>
              <w:left w:w="120" w:type="dxa"/>
              <w:bottom w:w="80" w:type="dxa"/>
              <w:right w:w="120" w:type="dxa"/>
            </w:tcMar>
            <w:vAlign w:val="center"/>
          </w:tcPr>
          <w:p w14:paraId="5FA804F6">
            <w:pPr>
              <w:spacing w:after="0" w:line="240" w:lineRule="auto"/>
            </w:pPr>
            <w:r>
              <w:rPr>
                <w:rFonts w:ascii="Calibri" w:hAnsi="Calibri"/>
                <w:color w:val="000000"/>
                <w:sz w:val="18"/>
              </w:rPr>
              <w:t>Duplicated the final review-priority decision without adding a distinct business use.</w:t>
            </w:r>
          </w:p>
        </w:tc>
      </w:tr>
      <w:tr w14:paraId="7D8D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3BC944D8">
            <w:pPr>
              <w:spacing w:after="0" w:line="240" w:lineRule="auto"/>
            </w:pPr>
            <w:r>
              <w:rPr>
                <w:rFonts w:ascii="Calibri" w:hAnsi="Calibri"/>
                <w:color w:val="000000"/>
                <w:sz w:val="18"/>
              </w:rPr>
              <w:t>amount_normalized; amount_decile; amount_quartile; amount_dense_rank</w:t>
            </w:r>
          </w:p>
        </w:tc>
        <w:tc>
          <w:tcPr>
            <w:tcW w:w="4680" w:type="dxa"/>
            <w:tcMar>
              <w:top w:w="80" w:type="dxa"/>
              <w:left w:w="120" w:type="dxa"/>
              <w:bottom w:w="80" w:type="dxa"/>
              <w:right w:w="120" w:type="dxa"/>
            </w:tcMar>
            <w:vAlign w:val="center"/>
          </w:tcPr>
          <w:p w14:paraId="04EAD51D">
            <w:pPr>
              <w:spacing w:after="0" w:line="240" w:lineRule="auto"/>
            </w:pPr>
            <w:r>
              <w:rPr>
                <w:rFonts w:ascii="Calibri" w:hAnsi="Calibri"/>
                <w:color w:val="000000"/>
                <w:sz w:val="18"/>
              </w:rPr>
              <w:t>Not used by Gold or the dashboard after validation of the final analytical design.</w:t>
            </w:r>
          </w:p>
        </w:tc>
      </w:tr>
      <w:tr w14:paraId="372D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57FD2E4">
            <w:pPr>
              <w:spacing w:after="0" w:line="240" w:lineRule="auto"/>
            </w:pPr>
            <w:r>
              <w:rPr>
                <w:rFonts w:ascii="Calibri" w:hAnsi="Calibri"/>
                <w:color w:val="000000"/>
                <w:sz w:val="18"/>
              </w:rPr>
              <w:t>transactions_last_5m; transactions_last_15m; amount_last_5m; same_amount_count_last_5m</w:t>
            </w:r>
          </w:p>
        </w:tc>
        <w:tc>
          <w:tcPr>
            <w:tcW w:w="4680" w:type="dxa"/>
            <w:tcMar>
              <w:top w:w="80" w:type="dxa"/>
              <w:left w:w="120" w:type="dxa"/>
              <w:bottom w:w="80" w:type="dxa"/>
              <w:right w:w="120" w:type="dxa"/>
            </w:tcMar>
            <w:vAlign w:val="center"/>
          </w:tcPr>
          <w:p w14:paraId="741EC326">
            <w:pPr>
              <w:spacing w:after="0" w:line="240" w:lineRule="auto"/>
            </w:pPr>
            <w:r>
              <w:rPr>
                <w:rFonts w:ascii="Calibri" w:hAnsi="Calibri"/>
                <w:color w:val="000000"/>
                <w:sz w:val="18"/>
              </w:rPr>
              <w:t>Not needed for the agreed final scoring model.</w:t>
            </w:r>
          </w:p>
        </w:tc>
      </w:tr>
      <w:tr w14:paraId="2393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278EAAD">
            <w:pPr>
              <w:spacing w:after="0" w:line="240" w:lineRule="auto"/>
            </w:pPr>
            <w:r>
              <w:rPr>
                <w:rFonts w:ascii="Calibri" w:hAnsi="Calibri"/>
                <w:color w:val="000000"/>
                <w:sz w:val="18"/>
              </w:rPr>
              <w:t>anonymized_pattern_key; repeated_anonymized_pattern_count</w:t>
            </w:r>
          </w:p>
        </w:tc>
        <w:tc>
          <w:tcPr>
            <w:tcW w:w="4680" w:type="dxa"/>
            <w:tcMar>
              <w:top w:w="80" w:type="dxa"/>
              <w:left w:w="120" w:type="dxa"/>
              <w:bottom w:w="80" w:type="dxa"/>
              <w:right w:w="120" w:type="dxa"/>
            </w:tcMar>
            <w:vAlign w:val="center"/>
          </w:tcPr>
          <w:p w14:paraId="400D77E8">
            <w:pPr>
              <w:spacing w:after="0" w:line="240" w:lineRule="auto"/>
            </w:pPr>
            <w:r>
              <w:rPr>
                <w:rFonts w:ascii="Calibri" w:hAnsi="Calibri"/>
                <w:color w:val="000000"/>
                <w:sz w:val="18"/>
              </w:rPr>
              <w:t>Temporary intermediate logic; retain the boolean flag and reason, not an opaque implementation field.</w:t>
            </w:r>
          </w:p>
        </w:tc>
      </w:tr>
      <w:tr w14:paraId="36C0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D2728F1">
            <w:pPr>
              <w:spacing w:after="0" w:line="240" w:lineRule="auto"/>
            </w:pPr>
            <w:r>
              <w:rPr>
                <w:rFonts w:ascii="Calibri" w:hAnsi="Calibri"/>
                <w:color w:val="000000"/>
                <w:sz w:val="18"/>
              </w:rPr>
              <w:t>previous_transaction_timestamp; previous_amount; next_transaction_timestamp; next_amount</w:t>
            </w:r>
          </w:p>
        </w:tc>
        <w:tc>
          <w:tcPr>
            <w:tcW w:w="4680" w:type="dxa"/>
            <w:tcMar>
              <w:top w:w="80" w:type="dxa"/>
              <w:left w:w="120" w:type="dxa"/>
              <w:bottom w:w="80" w:type="dxa"/>
              <w:right w:w="120" w:type="dxa"/>
            </w:tcMar>
            <w:vAlign w:val="center"/>
          </w:tcPr>
          <w:p w14:paraId="6A317B7D">
            <w:pPr>
              <w:spacing w:after="0" w:line="240" w:lineRule="auto"/>
            </w:pPr>
            <w:r>
              <w:rPr>
                <w:rFonts w:ascii="Calibri" w:hAnsi="Calibri"/>
                <w:color w:val="000000"/>
                <w:sz w:val="18"/>
              </w:rPr>
              <w:t>Intermediate window-function outputs; no need to persist after flags are calculated.</w:t>
            </w:r>
          </w:p>
        </w:tc>
      </w:tr>
      <w:tr w14:paraId="28AF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2964F86">
            <w:pPr>
              <w:spacing w:after="0" w:line="240" w:lineRule="auto"/>
            </w:pPr>
            <w:r>
              <w:rPr>
                <w:rFonts w:ascii="Calibri" w:hAnsi="Calibri"/>
                <w:color w:val="000000"/>
                <w:sz w:val="18"/>
              </w:rPr>
              <w:t>Validation helper flags in Silver output</w:t>
            </w:r>
          </w:p>
        </w:tc>
        <w:tc>
          <w:tcPr>
            <w:tcW w:w="4680" w:type="dxa"/>
            <w:tcMar>
              <w:top w:w="80" w:type="dxa"/>
              <w:left w:w="120" w:type="dxa"/>
              <w:bottom w:w="80" w:type="dxa"/>
              <w:right w:w="120" w:type="dxa"/>
            </w:tcMar>
            <w:vAlign w:val="center"/>
          </w:tcPr>
          <w:p w14:paraId="280AF02B">
            <w:pPr>
              <w:spacing w:after="0" w:line="240" w:lineRule="auto"/>
            </w:pPr>
            <w:r>
              <w:rPr>
                <w:rFonts w:ascii="Calibri" w:hAnsi="Calibri"/>
                <w:color w:val="000000"/>
                <w:sz w:val="18"/>
              </w:rPr>
              <w:t>has_nulls, is_valid_amount, is_valid_class, validation_status, validation_reason belong in validation logic/notebooks, not the final analytics table.</w:t>
            </w:r>
          </w:p>
        </w:tc>
      </w:tr>
    </w:tbl>
    <w:p w14:paraId="2AAE810B">
      <w:pPr>
        <w:spacing w:after="60"/>
      </w:pPr>
    </w:p>
    <w:p w14:paraId="3F1A180D">
      <w:pPr>
        <w:pStyle w:val="3"/>
      </w:pPr>
      <w:r>
        <w:rPr>
          <w:rFonts w:ascii="Calibri" w:hAnsi="Calibri"/>
          <w:b/>
          <w:color w:val="2E74B5"/>
          <w:sz w:val="26"/>
        </w:rPr>
        <w:t>4.3 Exact-duplicate handling moved to Silver</w:t>
      </w:r>
    </w:p>
    <w:p w14:paraId="63FE99D7">
      <w:pPr>
        <w:spacing w:after="120" w:line="264" w:lineRule="auto"/>
      </w:pPr>
      <w:r>
        <w:rPr>
          <w:rFonts w:ascii="Calibri" w:hAnsi="Calibri"/>
          <w:color w:val="000000"/>
          <w:sz w:val="22"/>
        </w:rPr>
        <w:t>Bronze retains all records. Silver uses record_hash to identify rows that are exactly identical across the original transaction values. Only one copy of an exact duplicate is retained in Silver. This lets the team reconcile the expected source result: Bronze preserves 284,807 source rows; Silver is expected to contain 283,726 unique transaction records for the original dataset, subject to the final validation run.</w:t>
      </w:r>
    </w:p>
    <w:p w14:paraId="0693B150">
      <w:pPr>
        <w:pStyle w:val="3"/>
      </w:pPr>
      <w:r>
        <w:rPr>
          <w:rFonts w:ascii="Calibri" w:hAnsi="Calibri"/>
          <w:b/>
          <w:color w:val="2E74B5"/>
          <w:sz w:val="26"/>
        </w:rPr>
        <w:t>4.4 Explainable review-priority rule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C6F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shd w:val="clear" w:color="auto" w:fill="E8EEF5"/>
            <w:tcMar>
              <w:top w:w="80" w:type="dxa"/>
              <w:left w:w="120" w:type="dxa"/>
              <w:bottom w:w="80" w:type="dxa"/>
              <w:right w:w="120" w:type="dxa"/>
            </w:tcMar>
            <w:vAlign w:val="center"/>
          </w:tcPr>
          <w:p w14:paraId="08278F9D">
            <w:pPr>
              <w:spacing w:after="0" w:line="240" w:lineRule="auto"/>
            </w:pPr>
            <w:r>
              <w:rPr>
                <w:rFonts w:ascii="Calibri" w:hAnsi="Calibri"/>
                <w:b/>
                <w:color w:val="0B2545"/>
                <w:sz w:val="19"/>
              </w:rPr>
              <w:t>Signal</w:t>
            </w:r>
          </w:p>
        </w:tc>
        <w:tc>
          <w:tcPr>
            <w:tcW w:w="1800" w:type="dxa"/>
            <w:shd w:val="clear" w:color="auto" w:fill="E8EEF5"/>
            <w:tcMar>
              <w:top w:w="80" w:type="dxa"/>
              <w:left w:w="120" w:type="dxa"/>
              <w:bottom w:w="80" w:type="dxa"/>
              <w:right w:w="120" w:type="dxa"/>
            </w:tcMar>
            <w:vAlign w:val="center"/>
          </w:tcPr>
          <w:p w14:paraId="77A6D37B">
            <w:pPr>
              <w:spacing w:after="0" w:line="240" w:lineRule="auto"/>
            </w:pPr>
            <w:r>
              <w:rPr>
                <w:rFonts w:ascii="Calibri" w:hAnsi="Calibri"/>
                <w:b/>
                <w:color w:val="0B2545"/>
                <w:sz w:val="19"/>
              </w:rPr>
              <w:t>Score contribution</w:t>
            </w:r>
          </w:p>
        </w:tc>
        <w:tc>
          <w:tcPr>
            <w:tcW w:w="5184" w:type="dxa"/>
            <w:shd w:val="clear" w:color="auto" w:fill="E8EEF5"/>
            <w:tcMar>
              <w:top w:w="80" w:type="dxa"/>
              <w:left w:w="120" w:type="dxa"/>
              <w:bottom w:w="80" w:type="dxa"/>
              <w:right w:w="120" w:type="dxa"/>
            </w:tcMar>
            <w:vAlign w:val="center"/>
          </w:tcPr>
          <w:p w14:paraId="359C52FB">
            <w:pPr>
              <w:spacing w:after="0" w:line="240" w:lineRule="auto"/>
            </w:pPr>
            <w:r>
              <w:rPr>
                <w:rFonts w:ascii="Calibri" w:hAnsi="Calibri"/>
                <w:b/>
                <w:color w:val="0B2545"/>
                <w:sz w:val="19"/>
              </w:rPr>
              <w:t>Business interpretation</w:t>
            </w:r>
          </w:p>
        </w:tc>
      </w:tr>
      <w:tr w14:paraId="4215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7772D17D">
            <w:pPr>
              <w:spacing w:after="0" w:line="240" w:lineRule="auto"/>
            </w:pPr>
            <w:r>
              <w:rPr>
                <w:rFonts w:ascii="Calibri" w:hAnsi="Calibri"/>
                <w:color w:val="000000"/>
                <w:sz w:val="18"/>
              </w:rPr>
              <w:t>Rapid repeat</w:t>
            </w:r>
          </w:p>
        </w:tc>
        <w:tc>
          <w:tcPr>
            <w:tcW w:w="3120" w:type="dxa"/>
            <w:tcMar>
              <w:top w:w="80" w:type="dxa"/>
              <w:left w:w="120" w:type="dxa"/>
              <w:bottom w:w="80" w:type="dxa"/>
              <w:right w:w="120" w:type="dxa"/>
            </w:tcMar>
            <w:vAlign w:val="center"/>
          </w:tcPr>
          <w:p w14:paraId="220EAC96">
            <w:pPr>
              <w:spacing w:after="0" w:line="240" w:lineRule="auto"/>
            </w:pPr>
            <w:r>
              <w:rPr>
                <w:rFonts w:ascii="Calibri" w:hAnsi="Calibri"/>
                <w:color w:val="000000"/>
                <w:sz w:val="18"/>
              </w:rPr>
              <w:t>+3</w:t>
            </w:r>
          </w:p>
        </w:tc>
        <w:tc>
          <w:tcPr>
            <w:tcW w:w="3120" w:type="dxa"/>
            <w:tcMar>
              <w:top w:w="80" w:type="dxa"/>
              <w:left w:w="120" w:type="dxa"/>
              <w:bottom w:w="80" w:type="dxa"/>
              <w:right w:w="120" w:type="dxa"/>
            </w:tcMar>
            <w:vAlign w:val="center"/>
          </w:tcPr>
          <w:p w14:paraId="39422BC6">
            <w:pPr>
              <w:spacing w:after="0" w:line="240" w:lineRule="auto"/>
            </w:pPr>
            <w:r>
              <w:rPr>
                <w:rFonts w:ascii="Calibri" w:hAnsi="Calibri"/>
                <w:color w:val="000000"/>
                <w:sz w:val="18"/>
              </w:rPr>
              <w:t>A same-amount transaction occurs immediately after the prior globally ordered transaction (within the agreed short time threshold).</w:t>
            </w:r>
          </w:p>
        </w:tc>
      </w:tr>
      <w:tr w14:paraId="31D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15DA799">
            <w:pPr>
              <w:spacing w:after="0" w:line="240" w:lineRule="auto"/>
            </w:pPr>
            <w:r>
              <w:rPr>
                <w:rFonts w:ascii="Calibri" w:hAnsi="Calibri"/>
                <w:color w:val="000000"/>
                <w:sz w:val="18"/>
              </w:rPr>
              <w:t>Repeated anonymized pattern</w:t>
            </w:r>
          </w:p>
        </w:tc>
        <w:tc>
          <w:tcPr>
            <w:tcW w:w="3120" w:type="dxa"/>
            <w:tcMar>
              <w:top w:w="80" w:type="dxa"/>
              <w:left w:w="120" w:type="dxa"/>
              <w:bottom w:w="80" w:type="dxa"/>
              <w:right w:w="120" w:type="dxa"/>
            </w:tcMar>
            <w:vAlign w:val="center"/>
          </w:tcPr>
          <w:p w14:paraId="45F541B8">
            <w:pPr>
              <w:spacing w:after="0" w:line="240" w:lineRule="auto"/>
            </w:pPr>
            <w:r>
              <w:rPr>
                <w:rFonts w:ascii="Calibri" w:hAnsi="Calibri"/>
                <w:color w:val="000000"/>
                <w:sz w:val="18"/>
              </w:rPr>
              <w:t>+2</w:t>
            </w:r>
          </w:p>
        </w:tc>
        <w:tc>
          <w:tcPr>
            <w:tcW w:w="3120" w:type="dxa"/>
            <w:tcMar>
              <w:top w:w="80" w:type="dxa"/>
              <w:left w:w="120" w:type="dxa"/>
              <w:bottom w:w="80" w:type="dxa"/>
              <w:right w:w="120" w:type="dxa"/>
            </w:tcMar>
            <w:vAlign w:val="center"/>
          </w:tcPr>
          <w:p w14:paraId="6F96A3D7">
            <w:pPr>
              <w:spacing w:after="0" w:line="240" w:lineRule="auto"/>
            </w:pPr>
            <w:r>
              <w:rPr>
                <w:rFonts w:ascii="Calibri" w:hAnsi="Calibri"/>
                <w:color w:val="000000"/>
                <w:sz w:val="18"/>
              </w:rPr>
              <w:t>A repeated pattern made from Amount and selected anonymized features appears in a short window; this is a pattern signal, not a claim about the feature meanings.</w:t>
            </w:r>
          </w:p>
        </w:tc>
      </w:tr>
      <w:tr w14:paraId="6117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8BF0618">
            <w:pPr>
              <w:spacing w:after="0" w:line="240" w:lineRule="auto"/>
            </w:pPr>
            <w:r>
              <w:rPr>
                <w:rFonts w:ascii="Calibri" w:hAnsi="Calibri"/>
                <w:color w:val="000000"/>
                <w:sz w:val="18"/>
              </w:rPr>
              <w:t>Very high or very low amount</w:t>
            </w:r>
          </w:p>
        </w:tc>
        <w:tc>
          <w:tcPr>
            <w:tcW w:w="3120" w:type="dxa"/>
            <w:tcMar>
              <w:top w:w="80" w:type="dxa"/>
              <w:left w:w="120" w:type="dxa"/>
              <w:bottom w:w="80" w:type="dxa"/>
              <w:right w:w="120" w:type="dxa"/>
            </w:tcMar>
            <w:vAlign w:val="center"/>
          </w:tcPr>
          <w:p w14:paraId="605B8E97">
            <w:pPr>
              <w:spacing w:after="0" w:line="240" w:lineRule="auto"/>
            </w:pPr>
            <w:r>
              <w:rPr>
                <w:rFonts w:ascii="Calibri" w:hAnsi="Calibri"/>
                <w:color w:val="000000"/>
                <w:sz w:val="18"/>
              </w:rPr>
              <w:t>+2</w:t>
            </w:r>
          </w:p>
        </w:tc>
        <w:tc>
          <w:tcPr>
            <w:tcW w:w="3120" w:type="dxa"/>
            <w:tcMar>
              <w:top w:w="80" w:type="dxa"/>
              <w:left w:w="120" w:type="dxa"/>
              <w:bottom w:w="80" w:type="dxa"/>
              <w:right w:w="120" w:type="dxa"/>
            </w:tcMar>
            <w:vAlign w:val="center"/>
          </w:tcPr>
          <w:p w14:paraId="5462415C">
            <w:pPr>
              <w:spacing w:after="0" w:line="240" w:lineRule="auto"/>
            </w:pPr>
            <w:r>
              <w:rPr>
                <w:rFonts w:ascii="Calibri" w:hAnsi="Calibri"/>
                <w:color w:val="000000"/>
                <w:sz w:val="18"/>
              </w:rPr>
              <w:t>An amount extreme contributes context, but cannot alone classify an event as fraud.</w:t>
            </w:r>
          </w:p>
        </w:tc>
      </w:tr>
      <w:tr w14:paraId="074E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7ADB3645">
            <w:pPr>
              <w:spacing w:after="0" w:line="240" w:lineRule="auto"/>
            </w:pPr>
            <w:r>
              <w:rPr>
                <w:rFonts w:ascii="Calibri" w:hAnsi="Calibri"/>
                <w:color w:val="000000"/>
                <w:sz w:val="18"/>
              </w:rPr>
              <w:t>Amount outlier</w:t>
            </w:r>
          </w:p>
        </w:tc>
        <w:tc>
          <w:tcPr>
            <w:tcW w:w="3120" w:type="dxa"/>
            <w:tcMar>
              <w:top w:w="80" w:type="dxa"/>
              <w:left w:w="120" w:type="dxa"/>
              <w:bottom w:w="80" w:type="dxa"/>
              <w:right w:w="120" w:type="dxa"/>
            </w:tcMar>
            <w:vAlign w:val="center"/>
          </w:tcPr>
          <w:p w14:paraId="632B8DCF">
            <w:pPr>
              <w:spacing w:after="0" w:line="240" w:lineRule="auto"/>
            </w:pPr>
            <w:r>
              <w:rPr>
                <w:rFonts w:ascii="Calibri" w:hAnsi="Calibri"/>
                <w:color w:val="000000"/>
                <w:sz w:val="18"/>
              </w:rPr>
              <w:t>+1</w:t>
            </w:r>
          </w:p>
        </w:tc>
        <w:tc>
          <w:tcPr>
            <w:tcW w:w="3120" w:type="dxa"/>
            <w:tcMar>
              <w:top w:w="80" w:type="dxa"/>
              <w:left w:w="120" w:type="dxa"/>
              <w:bottom w:w="80" w:type="dxa"/>
              <w:right w:w="120" w:type="dxa"/>
            </w:tcMar>
            <w:vAlign w:val="center"/>
          </w:tcPr>
          <w:p w14:paraId="4622E153">
            <w:pPr>
              <w:spacing w:after="0" w:line="240" w:lineRule="auto"/>
            </w:pPr>
            <w:r>
              <w:rPr>
                <w:rFonts w:ascii="Calibri" w:hAnsi="Calibri"/>
                <w:color w:val="000000"/>
                <w:sz w:val="18"/>
              </w:rPr>
              <w:t>Amount has an unusual statistical position in the dataset.</w:t>
            </w:r>
          </w:p>
        </w:tc>
      </w:tr>
      <w:tr w14:paraId="2303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EA0022E">
            <w:pPr>
              <w:spacing w:after="0" w:line="240" w:lineRule="auto"/>
            </w:pPr>
            <w:r>
              <w:rPr>
                <w:rFonts w:ascii="Calibri" w:hAnsi="Calibri"/>
                <w:color w:val="000000"/>
                <w:sz w:val="18"/>
              </w:rPr>
              <w:t>Contextual rule</w:t>
            </w:r>
          </w:p>
        </w:tc>
        <w:tc>
          <w:tcPr>
            <w:tcW w:w="3120" w:type="dxa"/>
            <w:tcMar>
              <w:top w:w="80" w:type="dxa"/>
              <w:left w:w="120" w:type="dxa"/>
              <w:bottom w:w="80" w:type="dxa"/>
              <w:right w:w="120" w:type="dxa"/>
            </w:tcMar>
            <w:vAlign w:val="center"/>
          </w:tcPr>
          <w:p w14:paraId="1C977B05">
            <w:pPr>
              <w:spacing w:after="0" w:line="240" w:lineRule="auto"/>
            </w:pPr>
            <w:r>
              <w:rPr>
                <w:rFonts w:ascii="Calibri" w:hAnsi="Calibri"/>
                <w:color w:val="000000"/>
                <w:sz w:val="18"/>
              </w:rPr>
              <w:t>+1</w:t>
            </w:r>
          </w:p>
        </w:tc>
        <w:tc>
          <w:tcPr>
            <w:tcW w:w="3120" w:type="dxa"/>
            <w:tcMar>
              <w:top w:w="80" w:type="dxa"/>
              <w:left w:w="120" w:type="dxa"/>
              <w:bottom w:w="80" w:type="dxa"/>
              <w:right w:w="120" w:type="dxa"/>
            </w:tcMar>
            <w:vAlign w:val="center"/>
          </w:tcPr>
          <w:p w14:paraId="7C079D97">
            <w:pPr>
              <w:spacing w:after="0" w:line="240" w:lineRule="auto"/>
            </w:pPr>
            <w:r>
              <w:rPr>
                <w:rFonts w:ascii="Calibri" w:hAnsi="Calibri"/>
                <w:color w:val="000000"/>
                <w:sz w:val="18"/>
              </w:rPr>
              <w:t>Extreme amount at night or rapid repeat during business hours provides additional context.</w:t>
            </w:r>
          </w:p>
        </w:tc>
      </w:tr>
      <w:tr w14:paraId="63E3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D775CDD">
            <w:pPr>
              <w:spacing w:after="0" w:line="240" w:lineRule="auto"/>
            </w:pPr>
            <w:r>
              <w:rPr>
                <w:rFonts w:ascii="Calibri" w:hAnsi="Calibri"/>
                <w:color w:val="000000"/>
                <w:sz w:val="18"/>
              </w:rPr>
              <w:t>Priority mapping</w:t>
            </w:r>
          </w:p>
        </w:tc>
        <w:tc>
          <w:tcPr>
            <w:tcW w:w="3120" w:type="dxa"/>
            <w:tcMar>
              <w:top w:w="80" w:type="dxa"/>
              <w:left w:w="120" w:type="dxa"/>
              <w:bottom w:w="80" w:type="dxa"/>
              <w:right w:w="120" w:type="dxa"/>
            </w:tcMar>
            <w:vAlign w:val="center"/>
          </w:tcPr>
          <w:p w14:paraId="5D0E6906">
            <w:pPr>
              <w:spacing w:after="0" w:line="240" w:lineRule="auto"/>
            </w:pPr>
            <w:r>
              <w:rPr>
                <w:rFonts w:ascii="Calibri" w:hAnsi="Calibri"/>
                <w:color w:val="000000"/>
                <w:sz w:val="18"/>
              </w:rPr>
              <w:t>High &gt;= 5; Medium &gt;= 3; otherwise Low</w:t>
            </w:r>
          </w:p>
        </w:tc>
        <w:tc>
          <w:tcPr>
            <w:tcW w:w="3120" w:type="dxa"/>
            <w:tcMar>
              <w:top w:w="80" w:type="dxa"/>
              <w:left w:w="120" w:type="dxa"/>
              <w:bottom w:w="80" w:type="dxa"/>
              <w:right w:w="120" w:type="dxa"/>
            </w:tcMar>
            <w:vAlign w:val="center"/>
          </w:tcPr>
          <w:p w14:paraId="0C52DF59">
            <w:pPr>
              <w:spacing w:after="0" w:line="240" w:lineRule="auto"/>
            </w:pPr>
            <w:r>
              <w:rPr>
                <w:rFonts w:ascii="Calibri" w:hAnsi="Calibri"/>
                <w:color w:val="000000"/>
                <w:sz w:val="18"/>
              </w:rPr>
              <w:t>Prioritizes analyst review; it is not a confirmed fraud prediction.</w:t>
            </w:r>
          </w:p>
        </w:tc>
      </w:tr>
    </w:tbl>
    <w:p w14:paraId="17662D64">
      <w:pPr>
        <w:spacing w:after="60"/>
      </w:pPr>
    </w:p>
    <w:p w14:paraId="765CDF2A">
      <w:pPr>
        <w:pStyle w:val="2"/>
      </w:pPr>
      <w:r>
        <w:rPr>
          <w:rFonts w:ascii="Calibri" w:hAnsi="Calibri"/>
          <w:b/>
          <w:color w:val="2E74B5"/>
          <w:sz w:val="32"/>
        </w:rPr>
        <w:t>5. Snowflake RAW and Gold evolution</w:t>
      </w:r>
    </w:p>
    <w:p w14:paraId="28CFB0DF">
      <w:pPr>
        <w:pStyle w:val="3"/>
      </w:pPr>
      <w:r>
        <w:rPr>
          <w:rFonts w:ascii="Calibri" w:hAnsi="Calibri"/>
          <w:b/>
          <w:color w:val="2E74B5"/>
          <w:sz w:val="26"/>
        </w:rPr>
        <w:t>5.1 RAW load controls</w:t>
      </w:r>
    </w:p>
    <w:p w14:paraId="2093859D">
      <w:pPr>
        <w:pStyle w:val="23"/>
        <w:spacing w:after="80" w:line="276" w:lineRule="auto"/>
      </w:pPr>
      <w:r>
        <w:rPr>
          <w:rFonts w:ascii="Calibri" w:hAnsi="Calibri"/>
          <w:color w:val="000000"/>
          <w:sz w:val="21"/>
        </w:rPr>
        <w:t>Databricks reads only the selected Silver batch and appends it to FRAUD_DB.RAW.TRANSACTIONS.</w:t>
      </w:r>
    </w:p>
    <w:p w14:paraId="6BEE6A38">
      <w:pPr>
        <w:pStyle w:val="23"/>
        <w:spacing w:after="80" w:line="276" w:lineRule="auto"/>
      </w:pPr>
      <w:r>
        <w:rPr>
          <w:rFonts w:ascii="Calibri" w:hAnsi="Calibri"/>
          <w:color w:val="000000"/>
          <w:sz w:val="21"/>
        </w:rPr>
        <w:t>Before append, it checks whether the same BATCH_ID plus SOURCE_FILE already exists in Snowflake RAW. If it does, the run is safely skipped.</w:t>
      </w:r>
    </w:p>
    <w:p w14:paraId="16B9A7FE">
      <w:pPr>
        <w:pStyle w:val="23"/>
        <w:spacing w:after="80" w:line="276" w:lineRule="auto"/>
      </w:pPr>
      <w:r>
        <w:rPr>
          <w:rFonts w:ascii="Calibri" w:hAnsi="Calibri"/>
          <w:color w:val="000000"/>
          <w:sz w:val="21"/>
        </w:rPr>
        <w:t>After the append, the pipeline reconciles the Silver selected-batch row count with Snowflake RAW for the same batch and source file.</w:t>
      </w:r>
    </w:p>
    <w:p w14:paraId="65BA71E5">
      <w:pPr>
        <w:pStyle w:val="23"/>
        <w:spacing w:after="80" w:line="276" w:lineRule="auto"/>
      </w:pPr>
      <w:r>
        <w:rPr>
          <w:rFonts w:ascii="Calibri" w:hAnsi="Calibri"/>
          <w:color w:val="000000"/>
          <w:sz w:val="21"/>
        </w:rPr>
        <w:t>The historical backup FRAUD_DB.RAW.TRANSACTIONS_LEGACY_20260807 is preserved and must not be deleted during the clean rebuild.</w:t>
      </w:r>
    </w:p>
    <w:p w14:paraId="3A7E490F">
      <w:pPr>
        <w:pStyle w:val="3"/>
      </w:pPr>
      <w:r>
        <w:rPr>
          <w:rFonts w:ascii="Calibri" w:hAnsi="Calibri"/>
          <w:b/>
          <w:color w:val="2E74B5"/>
          <w:sz w:val="26"/>
        </w:rPr>
        <w:t>5.2 Gold object naming and design</w:t>
      </w:r>
    </w:p>
    <w:p w14:paraId="73CCC813">
      <w:pPr>
        <w:spacing w:after="120" w:line="264" w:lineRule="auto"/>
      </w:pPr>
      <w:r>
        <w:rPr>
          <w:rFonts w:ascii="Calibri" w:hAnsi="Calibri"/>
          <w:color w:val="000000"/>
          <w:sz w:val="22"/>
        </w:rPr>
        <w:t>Earlier Gold definitions used technical names such as SUSPICIOUS_TRANSACTION_RISK. The latest Gold procedure exposes clear business-facing names: REVIEW_PRIORITY, REVIEW_SCORE, and REVIEW_REASON. This makes the Streamlit dashboard, review queue, and presentation easier to explain.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FEB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56" w:type="dxa"/>
            <w:shd w:val="clear" w:color="auto" w:fill="E8EEF5"/>
            <w:tcMar>
              <w:top w:w="80" w:type="dxa"/>
              <w:left w:w="120" w:type="dxa"/>
              <w:bottom w:w="80" w:type="dxa"/>
              <w:right w:w="120" w:type="dxa"/>
            </w:tcMar>
            <w:vAlign w:val="center"/>
          </w:tcPr>
          <w:p w14:paraId="3B928ACB">
            <w:pPr>
              <w:spacing w:after="0" w:line="240" w:lineRule="auto"/>
            </w:pPr>
            <w:r>
              <w:rPr>
                <w:rFonts w:ascii="Calibri" w:hAnsi="Calibri"/>
                <w:b/>
                <w:color w:val="0B2545"/>
                <w:sz w:val="19"/>
              </w:rPr>
              <w:t>Gold object</w:t>
            </w:r>
          </w:p>
        </w:tc>
        <w:tc>
          <w:tcPr>
            <w:tcW w:w="1080" w:type="dxa"/>
            <w:shd w:val="clear" w:color="auto" w:fill="E8EEF5"/>
            <w:tcMar>
              <w:top w:w="80" w:type="dxa"/>
              <w:left w:w="120" w:type="dxa"/>
              <w:bottom w:w="80" w:type="dxa"/>
              <w:right w:w="120" w:type="dxa"/>
            </w:tcMar>
            <w:vAlign w:val="center"/>
          </w:tcPr>
          <w:p w14:paraId="2D637603">
            <w:pPr>
              <w:spacing w:after="0" w:line="240" w:lineRule="auto"/>
            </w:pPr>
            <w:r>
              <w:rPr>
                <w:rFonts w:ascii="Calibri" w:hAnsi="Calibri"/>
                <w:b/>
                <w:color w:val="0B2545"/>
                <w:sz w:val="19"/>
              </w:rPr>
              <w:t>Type</w:t>
            </w:r>
          </w:p>
        </w:tc>
        <w:tc>
          <w:tcPr>
            <w:tcW w:w="4824" w:type="dxa"/>
            <w:shd w:val="clear" w:color="auto" w:fill="E8EEF5"/>
            <w:tcMar>
              <w:top w:w="80" w:type="dxa"/>
              <w:left w:w="120" w:type="dxa"/>
              <w:bottom w:w="80" w:type="dxa"/>
              <w:right w:w="120" w:type="dxa"/>
            </w:tcMar>
            <w:vAlign w:val="center"/>
          </w:tcPr>
          <w:p w14:paraId="2A96703C">
            <w:pPr>
              <w:spacing w:after="0" w:line="240" w:lineRule="auto"/>
            </w:pPr>
            <w:r>
              <w:rPr>
                <w:rFonts w:ascii="Calibri" w:hAnsi="Calibri"/>
                <w:b/>
                <w:color w:val="0B2545"/>
                <w:sz w:val="19"/>
              </w:rPr>
              <w:t>Contents and dashboard use</w:t>
            </w:r>
          </w:p>
        </w:tc>
      </w:tr>
      <w:tr w14:paraId="4BA7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C59C413">
            <w:pPr>
              <w:spacing w:after="0" w:line="240" w:lineRule="auto"/>
            </w:pPr>
            <w:r>
              <w:rPr>
                <w:rFonts w:ascii="Calibri" w:hAnsi="Calibri"/>
                <w:color w:val="000000"/>
                <w:sz w:val="18"/>
              </w:rPr>
              <w:t>ANALYTICS.FRAUD_DAILY_SUMMARY</w:t>
            </w:r>
          </w:p>
        </w:tc>
        <w:tc>
          <w:tcPr>
            <w:tcW w:w="3120" w:type="dxa"/>
            <w:tcMar>
              <w:top w:w="80" w:type="dxa"/>
              <w:left w:w="120" w:type="dxa"/>
              <w:bottom w:w="80" w:type="dxa"/>
              <w:right w:w="120" w:type="dxa"/>
            </w:tcMar>
            <w:vAlign w:val="center"/>
          </w:tcPr>
          <w:p w14:paraId="739713A9">
            <w:pPr>
              <w:spacing w:after="0" w:line="240" w:lineRule="auto"/>
            </w:pPr>
            <w:r>
              <w:rPr>
                <w:rFonts w:ascii="Calibri" w:hAnsi="Calibri"/>
                <w:color w:val="000000"/>
                <w:sz w:val="18"/>
              </w:rPr>
              <w:t>Table</w:t>
            </w:r>
          </w:p>
        </w:tc>
        <w:tc>
          <w:tcPr>
            <w:tcW w:w="3120" w:type="dxa"/>
            <w:tcMar>
              <w:top w:w="80" w:type="dxa"/>
              <w:left w:w="120" w:type="dxa"/>
              <w:bottom w:w="80" w:type="dxa"/>
              <w:right w:w="120" w:type="dxa"/>
            </w:tcMar>
            <w:vAlign w:val="center"/>
          </w:tcPr>
          <w:p w14:paraId="4F822CE3">
            <w:pPr>
              <w:spacing w:after="0" w:line="240" w:lineRule="auto"/>
            </w:pPr>
            <w:r>
              <w:rPr>
                <w:rFonts w:ascii="Calibri" w:hAnsi="Calibri"/>
                <w:color w:val="000000"/>
                <w:sz w:val="18"/>
              </w:rPr>
              <w:t>Daily volume, transaction amount, average/min/max amount, historical label counts, priority counts, rapid repeat/repeated pattern/outlier counts.</w:t>
            </w:r>
          </w:p>
        </w:tc>
      </w:tr>
      <w:tr w14:paraId="0B05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DC55E96">
            <w:pPr>
              <w:spacing w:after="0" w:line="240" w:lineRule="auto"/>
            </w:pPr>
            <w:r>
              <w:rPr>
                <w:rFonts w:ascii="Calibri" w:hAnsi="Calibri"/>
                <w:color w:val="000000"/>
                <w:sz w:val="18"/>
              </w:rPr>
              <w:t>ANALYTICS.AMOUNT_BUCKET_SUMMARY</w:t>
            </w:r>
          </w:p>
        </w:tc>
        <w:tc>
          <w:tcPr>
            <w:tcW w:w="3120" w:type="dxa"/>
            <w:tcMar>
              <w:top w:w="80" w:type="dxa"/>
              <w:left w:w="120" w:type="dxa"/>
              <w:bottom w:w="80" w:type="dxa"/>
              <w:right w:w="120" w:type="dxa"/>
            </w:tcMar>
            <w:vAlign w:val="center"/>
          </w:tcPr>
          <w:p w14:paraId="3597F1C7">
            <w:pPr>
              <w:spacing w:after="0" w:line="240" w:lineRule="auto"/>
            </w:pPr>
            <w:r>
              <w:rPr>
                <w:rFonts w:ascii="Calibri" w:hAnsi="Calibri"/>
                <w:color w:val="000000"/>
                <w:sz w:val="18"/>
              </w:rPr>
              <w:t>Table</w:t>
            </w:r>
          </w:p>
        </w:tc>
        <w:tc>
          <w:tcPr>
            <w:tcW w:w="3120" w:type="dxa"/>
            <w:tcMar>
              <w:top w:w="80" w:type="dxa"/>
              <w:left w:w="120" w:type="dxa"/>
              <w:bottom w:w="80" w:type="dxa"/>
              <w:right w:w="120" w:type="dxa"/>
            </w:tcMar>
            <w:vAlign w:val="center"/>
          </w:tcPr>
          <w:p w14:paraId="61689DB0">
            <w:pPr>
              <w:spacing w:after="0" w:line="240" w:lineRule="auto"/>
            </w:pPr>
            <w:r>
              <w:rPr>
                <w:rFonts w:ascii="Calibri" w:hAnsi="Calibri"/>
                <w:color w:val="000000"/>
                <w:sz w:val="18"/>
              </w:rPr>
              <w:t>Amount range-level transaction counts, value totals, historical label count and review-priority signals.</w:t>
            </w:r>
          </w:p>
        </w:tc>
      </w:tr>
      <w:tr w14:paraId="0532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D4CEAD5">
            <w:pPr>
              <w:spacing w:after="0" w:line="240" w:lineRule="auto"/>
            </w:pPr>
            <w:r>
              <w:rPr>
                <w:rFonts w:ascii="Calibri" w:hAnsi="Calibri"/>
                <w:color w:val="000000"/>
                <w:sz w:val="18"/>
              </w:rPr>
              <w:t>ANALYTICS.RISK_TIME_DASHBOARD</w:t>
            </w:r>
          </w:p>
        </w:tc>
        <w:tc>
          <w:tcPr>
            <w:tcW w:w="3120" w:type="dxa"/>
            <w:tcMar>
              <w:top w:w="80" w:type="dxa"/>
              <w:left w:w="120" w:type="dxa"/>
              <w:bottom w:w="80" w:type="dxa"/>
              <w:right w:w="120" w:type="dxa"/>
            </w:tcMar>
            <w:vAlign w:val="center"/>
          </w:tcPr>
          <w:p w14:paraId="20E6FFD5">
            <w:pPr>
              <w:spacing w:after="0" w:line="240" w:lineRule="auto"/>
            </w:pPr>
            <w:r>
              <w:rPr>
                <w:rFonts w:ascii="Calibri" w:hAnsi="Calibri"/>
                <w:color w:val="000000"/>
                <w:sz w:val="18"/>
              </w:rPr>
              <w:t>Table</w:t>
            </w:r>
          </w:p>
        </w:tc>
        <w:tc>
          <w:tcPr>
            <w:tcW w:w="3120" w:type="dxa"/>
            <w:tcMar>
              <w:top w:w="80" w:type="dxa"/>
              <w:left w:w="120" w:type="dxa"/>
              <w:bottom w:w="80" w:type="dxa"/>
              <w:right w:w="120" w:type="dxa"/>
            </w:tcMar>
            <w:vAlign w:val="center"/>
          </w:tcPr>
          <w:p w14:paraId="15C94DAE">
            <w:pPr>
              <w:spacing w:after="0" w:line="240" w:lineRule="auto"/>
            </w:pPr>
            <w:r>
              <w:rPr>
                <w:rFonts w:ascii="Calibri" w:hAnsi="Calibri"/>
                <w:color w:val="000000"/>
                <w:sz w:val="18"/>
              </w:rPr>
              <w:t>Date, time segment/window, amount range and review priority: counts, amounts and behavioral-signal counts.</w:t>
            </w:r>
          </w:p>
        </w:tc>
      </w:tr>
      <w:tr w14:paraId="61DD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EA323F8">
            <w:pPr>
              <w:spacing w:after="0" w:line="240" w:lineRule="auto"/>
            </w:pPr>
            <w:r>
              <w:rPr>
                <w:rFonts w:ascii="Calibri" w:hAnsi="Calibri"/>
                <w:color w:val="000000"/>
                <w:sz w:val="18"/>
              </w:rPr>
              <w:t>ANALYTICS.ANALYST_REVIEW_QUEUE</w:t>
            </w:r>
          </w:p>
        </w:tc>
        <w:tc>
          <w:tcPr>
            <w:tcW w:w="3120" w:type="dxa"/>
            <w:tcMar>
              <w:top w:w="80" w:type="dxa"/>
              <w:left w:w="120" w:type="dxa"/>
              <w:bottom w:w="80" w:type="dxa"/>
              <w:right w:w="120" w:type="dxa"/>
            </w:tcMar>
            <w:vAlign w:val="center"/>
          </w:tcPr>
          <w:p w14:paraId="4A179687">
            <w:pPr>
              <w:spacing w:after="0" w:line="240" w:lineRule="auto"/>
            </w:pPr>
            <w:r>
              <w:rPr>
                <w:rFonts w:ascii="Calibri" w:hAnsi="Calibri"/>
                <w:color w:val="000000"/>
                <w:sz w:val="18"/>
              </w:rPr>
              <w:t>View</w:t>
            </w:r>
          </w:p>
        </w:tc>
        <w:tc>
          <w:tcPr>
            <w:tcW w:w="3120" w:type="dxa"/>
            <w:tcMar>
              <w:top w:w="80" w:type="dxa"/>
              <w:left w:w="120" w:type="dxa"/>
              <w:bottom w:w="80" w:type="dxa"/>
              <w:right w:w="120" w:type="dxa"/>
            </w:tcMar>
            <w:vAlign w:val="center"/>
          </w:tcPr>
          <w:p w14:paraId="1B02B72C">
            <w:pPr>
              <w:spacing w:after="0" w:line="240" w:lineRule="auto"/>
            </w:pPr>
            <w:r>
              <w:rPr>
                <w:rFonts w:ascii="Calibri" w:hAnsi="Calibri"/>
                <w:color w:val="000000"/>
                <w:sz w:val="18"/>
              </w:rPr>
              <w:t>Live detailed list of transaction-level records, ordered for analyst review with clear aliases.</w:t>
            </w:r>
          </w:p>
        </w:tc>
      </w:tr>
    </w:tbl>
    <w:p w14:paraId="42D70BAF">
      <w:pPr>
        <w:spacing w:after="60"/>
      </w:pPr>
    </w:p>
    <w:p w14:paraId="141CC666">
      <w:pPr>
        <w:pStyle w:val="3"/>
      </w:pPr>
      <w:bookmarkStart w:id="0" w:name="_GoBack"/>
      <w:bookmarkEnd w:id="0"/>
      <w:r>
        <w:rPr>
          <w:rFonts w:ascii="Calibri" w:hAnsi="Calibri"/>
          <w:b/>
          <w:color w:val="2E74B5"/>
          <w:sz w:val="26"/>
        </w:rPr>
        <w:t>5.4 Gold refresh procedure</w:t>
      </w:r>
    </w:p>
    <w:p w14:paraId="4ED860E8">
      <w:pPr>
        <w:spacing w:after="120" w:line="264" w:lineRule="auto"/>
      </w:pPr>
      <w:r>
        <w:rPr>
          <w:rFonts w:ascii="Calibri" w:hAnsi="Calibri"/>
          <w:color w:val="000000"/>
          <w:sz w:val="22"/>
        </w:rPr>
        <w:t>ANALYTICS.REFRESH_FRAUD_GOLD() is the single Snowflake procedure called by Dagster after Snowflake RAW validation succeeds. It recreates the three Gold summary tables and the live analyst queue view from RAW. This guarantees that every successful batch refreshes the reporting layer consistently.</w:t>
      </w:r>
    </w:p>
    <w:p w14:paraId="7E6CDDA5">
      <w:pPr>
        <w:pStyle w:val="2"/>
      </w:pPr>
      <w:r>
        <w:rPr>
          <w:rFonts w:ascii="Calibri" w:hAnsi="Calibri"/>
          <w:b/>
          <w:color w:val="2E74B5"/>
          <w:sz w:val="32"/>
        </w:rPr>
        <w:t>6. Orchestration, S3 routing and duplicate prevention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D62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28" w:type="dxa"/>
            <w:shd w:val="clear" w:color="auto" w:fill="E8EEF5"/>
            <w:tcMar>
              <w:top w:w="80" w:type="dxa"/>
              <w:left w:w="120" w:type="dxa"/>
              <w:bottom w:w="80" w:type="dxa"/>
              <w:right w:w="120" w:type="dxa"/>
            </w:tcMar>
            <w:vAlign w:val="center"/>
          </w:tcPr>
          <w:p w14:paraId="004E598F">
            <w:pPr>
              <w:spacing w:after="0" w:line="240" w:lineRule="auto"/>
            </w:pPr>
            <w:r>
              <w:rPr>
                <w:rFonts w:ascii="Calibri" w:hAnsi="Calibri"/>
                <w:b/>
                <w:color w:val="0B2545"/>
                <w:sz w:val="19"/>
              </w:rPr>
              <w:t>Pipeline step</w:t>
            </w:r>
          </w:p>
        </w:tc>
        <w:tc>
          <w:tcPr>
            <w:tcW w:w="4608" w:type="dxa"/>
            <w:shd w:val="clear" w:color="auto" w:fill="E8EEF5"/>
            <w:tcMar>
              <w:top w:w="80" w:type="dxa"/>
              <w:left w:w="120" w:type="dxa"/>
              <w:bottom w:w="80" w:type="dxa"/>
              <w:right w:w="120" w:type="dxa"/>
            </w:tcMar>
            <w:vAlign w:val="center"/>
          </w:tcPr>
          <w:p w14:paraId="42BBAE74">
            <w:pPr>
              <w:spacing w:after="0" w:line="240" w:lineRule="auto"/>
            </w:pPr>
            <w:r>
              <w:rPr>
                <w:rFonts w:ascii="Calibri" w:hAnsi="Calibri"/>
                <w:b/>
                <w:color w:val="0B2545"/>
                <w:sz w:val="19"/>
              </w:rPr>
              <w:t>What happens</w:t>
            </w:r>
          </w:p>
        </w:tc>
        <w:tc>
          <w:tcPr>
            <w:tcW w:w="3024" w:type="dxa"/>
            <w:shd w:val="clear" w:color="auto" w:fill="E8EEF5"/>
            <w:tcMar>
              <w:top w:w="80" w:type="dxa"/>
              <w:left w:w="120" w:type="dxa"/>
              <w:bottom w:w="80" w:type="dxa"/>
              <w:right w:w="120" w:type="dxa"/>
            </w:tcMar>
            <w:vAlign w:val="center"/>
          </w:tcPr>
          <w:p w14:paraId="489745AA">
            <w:pPr>
              <w:spacing w:after="0" w:line="240" w:lineRule="auto"/>
            </w:pPr>
            <w:r>
              <w:rPr>
                <w:rFonts w:ascii="Calibri" w:hAnsi="Calibri"/>
                <w:b/>
                <w:color w:val="0B2545"/>
                <w:sz w:val="19"/>
              </w:rPr>
              <w:t>Operational control</w:t>
            </w:r>
          </w:p>
        </w:tc>
      </w:tr>
      <w:tr w14:paraId="31A7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22C93A76">
            <w:pPr>
              <w:spacing w:after="0" w:line="240" w:lineRule="auto"/>
            </w:pPr>
            <w:r>
              <w:rPr>
                <w:rFonts w:ascii="Calibri" w:hAnsi="Calibri"/>
                <w:color w:val="000000"/>
                <w:sz w:val="18"/>
              </w:rPr>
              <w:t>1. Bronze</w:t>
            </w:r>
          </w:p>
        </w:tc>
        <w:tc>
          <w:tcPr>
            <w:tcW w:w="3120" w:type="dxa"/>
            <w:tcMar>
              <w:top w:w="80" w:type="dxa"/>
              <w:left w:w="120" w:type="dxa"/>
              <w:bottom w:w="80" w:type="dxa"/>
              <w:right w:w="120" w:type="dxa"/>
            </w:tcMar>
            <w:vAlign w:val="center"/>
          </w:tcPr>
          <w:p w14:paraId="03EBB52F">
            <w:pPr>
              <w:spacing w:after="0" w:line="240" w:lineRule="auto"/>
            </w:pPr>
            <w:r>
              <w:rPr>
                <w:rFonts w:ascii="Calibri" w:hAnsi="Calibri"/>
                <w:color w:val="000000"/>
                <w:sz w:val="18"/>
              </w:rPr>
              <w:t>Dagster starts the Bronze Databricks Job with catalog, file, path, batch ID and content identity.</w:t>
            </w:r>
          </w:p>
        </w:tc>
        <w:tc>
          <w:tcPr>
            <w:tcW w:w="3120" w:type="dxa"/>
            <w:tcMar>
              <w:top w:w="80" w:type="dxa"/>
              <w:left w:w="120" w:type="dxa"/>
              <w:bottom w:w="80" w:type="dxa"/>
              <w:right w:w="120" w:type="dxa"/>
            </w:tcMar>
            <w:vAlign w:val="center"/>
          </w:tcPr>
          <w:p w14:paraId="43989390">
            <w:pPr>
              <w:spacing w:after="0" w:line="240" w:lineRule="auto"/>
            </w:pPr>
            <w:r>
              <w:rPr>
                <w:rFonts w:ascii="Calibri" w:hAnsi="Calibri"/>
                <w:color w:val="000000"/>
                <w:sz w:val="18"/>
              </w:rPr>
              <w:t>Audit log and raw-row preservation.</w:t>
            </w:r>
          </w:p>
        </w:tc>
      </w:tr>
      <w:tr w14:paraId="7E43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2F70BF47">
            <w:pPr>
              <w:spacing w:after="0" w:line="240" w:lineRule="auto"/>
            </w:pPr>
            <w:r>
              <w:rPr>
                <w:rFonts w:ascii="Calibri" w:hAnsi="Calibri"/>
                <w:color w:val="000000"/>
                <w:sz w:val="18"/>
              </w:rPr>
              <w:t>2. Silver</w:t>
            </w:r>
          </w:p>
        </w:tc>
        <w:tc>
          <w:tcPr>
            <w:tcW w:w="3120" w:type="dxa"/>
            <w:tcMar>
              <w:top w:w="80" w:type="dxa"/>
              <w:left w:w="120" w:type="dxa"/>
              <w:bottom w:w="80" w:type="dxa"/>
              <w:right w:w="120" w:type="dxa"/>
            </w:tcMar>
            <w:vAlign w:val="center"/>
          </w:tcPr>
          <w:p w14:paraId="620FA173">
            <w:pPr>
              <w:spacing w:after="0" w:line="240" w:lineRule="auto"/>
            </w:pPr>
            <w:r>
              <w:rPr>
                <w:rFonts w:ascii="Calibri" w:hAnsi="Calibri"/>
                <w:color w:val="000000"/>
                <w:sz w:val="18"/>
              </w:rPr>
              <w:t>Dagster starts the Silver Job after Bronze succeeds.</w:t>
            </w:r>
          </w:p>
        </w:tc>
        <w:tc>
          <w:tcPr>
            <w:tcW w:w="3120" w:type="dxa"/>
            <w:tcMar>
              <w:top w:w="80" w:type="dxa"/>
              <w:left w:w="120" w:type="dxa"/>
              <w:bottom w:w="80" w:type="dxa"/>
              <w:right w:w="120" w:type="dxa"/>
            </w:tcMar>
            <w:vAlign w:val="center"/>
          </w:tcPr>
          <w:p w14:paraId="0635CC0F">
            <w:pPr>
              <w:spacing w:after="0" w:line="240" w:lineRule="auto"/>
            </w:pPr>
            <w:r>
              <w:rPr>
                <w:rFonts w:ascii="Calibri" w:hAnsi="Calibri"/>
                <w:color w:val="000000"/>
                <w:sz w:val="18"/>
              </w:rPr>
              <w:t>Exact duplicate removal only in Silver; Silver audit.</w:t>
            </w:r>
          </w:p>
        </w:tc>
      </w:tr>
      <w:tr w14:paraId="2444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56E6E8E">
            <w:pPr>
              <w:spacing w:after="0" w:line="240" w:lineRule="auto"/>
            </w:pPr>
            <w:r>
              <w:rPr>
                <w:rFonts w:ascii="Calibri" w:hAnsi="Calibri"/>
                <w:color w:val="000000"/>
                <w:sz w:val="18"/>
              </w:rPr>
              <w:t>3. Snowflake RAW</w:t>
            </w:r>
          </w:p>
        </w:tc>
        <w:tc>
          <w:tcPr>
            <w:tcW w:w="3120" w:type="dxa"/>
            <w:tcMar>
              <w:top w:w="80" w:type="dxa"/>
              <w:left w:w="120" w:type="dxa"/>
              <w:bottom w:w="80" w:type="dxa"/>
              <w:right w:w="120" w:type="dxa"/>
            </w:tcMar>
            <w:vAlign w:val="center"/>
          </w:tcPr>
          <w:p w14:paraId="4E2065C9">
            <w:pPr>
              <w:spacing w:after="0" w:line="240" w:lineRule="auto"/>
            </w:pPr>
            <w:r>
              <w:rPr>
                <w:rFonts w:ascii="Calibri" w:hAnsi="Calibri"/>
                <w:color w:val="000000"/>
                <w:sz w:val="18"/>
              </w:rPr>
              <w:t>Dagster starts the Silver-to-Snowflake Job.</w:t>
            </w:r>
          </w:p>
        </w:tc>
        <w:tc>
          <w:tcPr>
            <w:tcW w:w="3120" w:type="dxa"/>
            <w:tcMar>
              <w:top w:w="80" w:type="dxa"/>
              <w:left w:w="120" w:type="dxa"/>
              <w:bottom w:w="80" w:type="dxa"/>
              <w:right w:w="120" w:type="dxa"/>
            </w:tcMar>
            <w:vAlign w:val="center"/>
          </w:tcPr>
          <w:p w14:paraId="6F963DD1">
            <w:pPr>
              <w:spacing w:after="0" w:line="240" w:lineRule="auto"/>
            </w:pPr>
            <w:r>
              <w:rPr>
                <w:rFonts w:ascii="Calibri" w:hAnsi="Calibri"/>
                <w:color w:val="000000"/>
                <w:sz w:val="18"/>
              </w:rPr>
              <w:t>Batch + source-file skip and row-count reconciliation.</w:t>
            </w:r>
          </w:p>
        </w:tc>
      </w:tr>
      <w:tr w14:paraId="0CC6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A89CED8">
            <w:pPr>
              <w:spacing w:after="0" w:line="240" w:lineRule="auto"/>
            </w:pPr>
            <w:r>
              <w:rPr>
                <w:rFonts w:ascii="Calibri" w:hAnsi="Calibri"/>
                <w:color w:val="000000"/>
                <w:sz w:val="18"/>
              </w:rPr>
              <w:t>4. RAW validation</w:t>
            </w:r>
          </w:p>
        </w:tc>
        <w:tc>
          <w:tcPr>
            <w:tcW w:w="3120" w:type="dxa"/>
            <w:tcMar>
              <w:top w:w="80" w:type="dxa"/>
              <w:left w:w="120" w:type="dxa"/>
              <w:bottom w:w="80" w:type="dxa"/>
              <w:right w:w="120" w:type="dxa"/>
            </w:tcMar>
            <w:vAlign w:val="center"/>
          </w:tcPr>
          <w:p w14:paraId="448FD4B4">
            <w:pPr>
              <w:spacing w:after="0" w:line="240" w:lineRule="auto"/>
            </w:pPr>
            <w:r>
              <w:rPr>
                <w:rFonts w:ascii="Calibri" w:hAnsi="Calibri"/>
                <w:color w:val="000000"/>
                <w:sz w:val="18"/>
              </w:rPr>
              <w:t>Dagster confirms the loaded batch count in Snowflake.</w:t>
            </w:r>
          </w:p>
        </w:tc>
        <w:tc>
          <w:tcPr>
            <w:tcW w:w="3120" w:type="dxa"/>
            <w:tcMar>
              <w:top w:w="80" w:type="dxa"/>
              <w:left w:w="120" w:type="dxa"/>
              <w:bottom w:w="80" w:type="dxa"/>
              <w:right w:w="120" w:type="dxa"/>
            </w:tcMar>
            <w:vAlign w:val="center"/>
          </w:tcPr>
          <w:p w14:paraId="0CF8BEB3">
            <w:pPr>
              <w:spacing w:after="0" w:line="240" w:lineRule="auto"/>
            </w:pPr>
            <w:r>
              <w:rPr>
                <w:rFonts w:ascii="Calibri" w:hAnsi="Calibri"/>
                <w:color w:val="000000"/>
                <w:sz w:val="18"/>
              </w:rPr>
              <w:t>Stops downstream reporting if the count is wrong.</w:t>
            </w:r>
          </w:p>
        </w:tc>
      </w:tr>
      <w:tr w14:paraId="7E3D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71A0C1D">
            <w:pPr>
              <w:spacing w:after="0" w:line="240" w:lineRule="auto"/>
            </w:pPr>
            <w:r>
              <w:rPr>
                <w:rFonts w:ascii="Calibri" w:hAnsi="Calibri"/>
                <w:color w:val="000000"/>
                <w:sz w:val="18"/>
              </w:rPr>
              <w:t>5. Gold refresh</w:t>
            </w:r>
          </w:p>
        </w:tc>
        <w:tc>
          <w:tcPr>
            <w:tcW w:w="3120" w:type="dxa"/>
            <w:tcMar>
              <w:top w:w="80" w:type="dxa"/>
              <w:left w:w="120" w:type="dxa"/>
              <w:bottom w:w="80" w:type="dxa"/>
              <w:right w:w="120" w:type="dxa"/>
            </w:tcMar>
            <w:vAlign w:val="center"/>
          </w:tcPr>
          <w:p w14:paraId="3712495B">
            <w:pPr>
              <w:spacing w:after="0" w:line="240" w:lineRule="auto"/>
            </w:pPr>
            <w:r>
              <w:rPr>
                <w:rFonts w:ascii="Calibri" w:hAnsi="Calibri"/>
                <w:color w:val="000000"/>
                <w:sz w:val="18"/>
              </w:rPr>
              <w:t>Dagster calls ANALYTICS.REFRESH_FRAUD_GOLD().</w:t>
            </w:r>
          </w:p>
        </w:tc>
        <w:tc>
          <w:tcPr>
            <w:tcW w:w="3120" w:type="dxa"/>
            <w:tcMar>
              <w:top w:w="80" w:type="dxa"/>
              <w:left w:w="120" w:type="dxa"/>
              <w:bottom w:w="80" w:type="dxa"/>
              <w:right w:w="120" w:type="dxa"/>
            </w:tcMar>
            <w:vAlign w:val="center"/>
          </w:tcPr>
          <w:p w14:paraId="6016C20A">
            <w:pPr>
              <w:spacing w:after="0" w:line="240" w:lineRule="auto"/>
            </w:pPr>
            <w:r>
              <w:rPr>
                <w:rFonts w:ascii="Calibri" w:hAnsi="Calibri"/>
                <w:color w:val="000000"/>
                <w:sz w:val="18"/>
              </w:rPr>
              <w:t>All dashboard objects refresh together.</w:t>
            </w:r>
          </w:p>
        </w:tc>
      </w:tr>
      <w:tr w14:paraId="7015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D9CFC45">
            <w:pPr>
              <w:spacing w:after="0" w:line="240" w:lineRule="auto"/>
            </w:pPr>
            <w:r>
              <w:rPr>
                <w:rFonts w:ascii="Calibri" w:hAnsi="Calibri"/>
                <w:color w:val="000000"/>
                <w:sz w:val="18"/>
              </w:rPr>
              <w:t>6. Archive/reject</w:t>
            </w:r>
          </w:p>
        </w:tc>
        <w:tc>
          <w:tcPr>
            <w:tcW w:w="3120" w:type="dxa"/>
            <w:tcMar>
              <w:top w:w="80" w:type="dxa"/>
              <w:left w:w="120" w:type="dxa"/>
              <w:bottom w:w="80" w:type="dxa"/>
              <w:right w:w="120" w:type="dxa"/>
            </w:tcMar>
            <w:vAlign w:val="center"/>
          </w:tcPr>
          <w:p w14:paraId="410AA2BE">
            <w:pPr>
              <w:spacing w:after="0" w:line="240" w:lineRule="auto"/>
            </w:pPr>
            <w:r>
              <w:rPr>
                <w:rFonts w:ascii="Calibri" w:hAnsi="Calibri"/>
                <w:color w:val="000000"/>
                <w:sz w:val="18"/>
              </w:rPr>
              <w:t>On success copy to archive then delete landing object; duplicate content goes to reject/duplicates.</w:t>
            </w:r>
          </w:p>
        </w:tc>
        <w:tc>
          <w:tcPr>
            <w:tcW w:w="3120" w:type="dxa"/>
            <w:tcMar>
              <w:top w:w="80" w:type="dxa"/>
              <w:left w:w="120" w:type="dxa"/>
              <w:bottom w:w="80" w:type="dxa"/>
              <w:right w:w="120" w:type="dxa"/>
            </w:tcMar>
            <w:vAlign w:val="center"/>
          </w:tcPr>
          <w:p w14:paraId="4ED0D9B8">
            <w:pPr>
              <w:spacing w:after="0" w:line="240" w:lineRule="auto"/>
            </w:pPr>
            <w:r>
              <w:rPr>
                <w:rFonts w:ascii="Calibri" w:hAnsi="Calibri"/>
                <w:color w:val="000000"/>
                <w:sz w:val="18"/>
              </w:rPr>
              <w:t>Landing behaves as a queue and retains no completed source files.</w:t>
            </w:r>
          </w:p>
        </w:tc>
      </w:tr>
    </w:tbl>
    <w:p w14:paraId="14E4FF72">
      <w:pPr>
        <w:spacing w:after="60"/>
      </w:pPr>
    </w:p>
    <w:p w14:paraId="6BB143E8">
      <w:pPr>
        <w:spacing w:after="120" w:line="264" w:lineRule="auto"/>
      </w:pPr>
      <w:r>
        <w:rPr>
          <w:rFonts w:ascii="Calibri" w:hAnsi="Calibri"/>
          <w:color w:val="000000"/>
          <w:sz w:val="22"/>
        </w:rPr>
        <w:t>The Dagster sensor scans landing/ approximately every 30 seconds. The final sensor design selects one new candidate per tick and checks for an active run before requesting another, preventing two full pipelines from starting simultaneously. A stored sensor cursor and S3_SENSOR_START_AFTER were also introduced to avoid replaying older files when the sensor is first enabled.</w:t>
      </w:r>
    </w:p>
    <w:tbl>
      <w:tblPr>
        <w:tblStyle w:val="12"/>
        <w:tblW w:w="0" w:type="auto"/>
        <w:tblInd w:w="0" w:type="dxa"/>
        <w:tblLayout w:type="fixed"/>
        <w:tblCellMar>
          <w:top w:w="0" w:type="dxa"/>
          <w:left w:w="108" w:type="dxa"/>
          <w:bottom w:w="0" w:type="dxa"/>
          <w:right w:w="108" w:type="dxa"/>
        </w:tblCellMar>
      </w:tblPr>
      <w:tblGrid>
        <w:gridCol w:w="9360"/>
      </w:tblGrid>
      <w:tr w14:paraId="063CC0B9">
        <w:tc>
          <w:tcPr>
            <w:tcW w:w="9360" w:type="dxa"/>
            <w:shd w:val="clear" w:color="auto" w:fill="E2F0D9"/>
            <w:tcMar>
              <w:top w:w="120" w:type="dxa"/>
              <w:left w:w="160" w:type="dxa"/>
              <w:bottom w:w="120" w:type="dxa"/>
              <w:right w:w="160" w:type="dxa"/>
            </w:tcMar>
          </w:tcPr>
          <w:p w14:paraId="6EFD308E">
            <w:pPr>
              <w:spacing w:after="40"/>
            </w:pPr>
            <w:r>
              <w:rPr>
                <w:rFonts w:ascii="Calibri" w:hAnsi="Calibri"/>
                <w:b/>
                <w:color w:val="0B2545"/>
                <w:sz w:val="21"/>
              </w:rPr>
              <w:t xml:space="preserve">Duplicate-file rule: </w:t>
            </w:r>
            <w:r>
              <w:rPr>
                <w:rFonts w:ascii="Calibri" w:hAnsi="Calibri"/>
                <w:color w:val="000000"/>
                <w:sz w:val="21"/>
              </w:rPr>
              <w:t>File name alone is not sufficient. The sensor calculates a streaming SHA-256 content hash and compares it with successful audit records. A different file name with identical content is routed to reject/duplicates/ and marked DUPLICATE_CONTENT instead of being ingested.</w:t>
            </w:r>
          </w:p>
        </w:tc>
      </w:tr>
    </w:tbl>
    <w:p w14:paraId="3270F5B2">
      <w:pPr>
        <w:spacing w:after="40"/>
      </w:pPr>
    </w:p>
    <w:p w14:paraId="1B635C26">
      <w:pPr>
        <w:pStyle w:val="3"/>
      </w:pPr>
      <w:r>
        <w:rPr>
          <w:rFonts w:ascii="Calibri" w:hAnsi="Calibri"/>
          <w:b/>
          <w:color w:val="2E74B5"/>
          <w:sz w:val="26"/>
        </w:rPr>
        <w:t>6.1 S3 permissions and folder plan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43A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32" w:type="dxa"/>
            <w:shd w:val="clear" w:color="auto" w:fill="E8EEF5"/>
            <w:tcMar>
              <w:top w:w="80" w:type="dxa"/>
              <w:left w:w="120" w:type="dxa"/>
              <w:bottom w:w="80" w:type="dxa"/>
              <w:right w:w="120" w:type="dxa"/>
            </w:tcMar>
            <w:vAlign w:val="center"/>
          </w:tcPr>
          <w:p w14:paraId="4D2DB0F0">
            <w:pPr>
              <w:spacing w:after="0" w:line="240" w:lineRule="auto"/>
            </w:pPr>
            <w:r>
              <w:rPr>
                <w:rFonts w:ascii="Calibri" w:hAnsi="Calibri"/>
                <w:b/>
                <w:color w:val="0B2545"/>
                <w:sz w:val="19"/>
              </w:rPr>
              <w:t>Folder</w:t>
            </w:r>
          </w:p>
        </w:tc>
        <w:tc>
          <w:tcPr>
            <w:tcW w:w="4680" w:type="dxa"/>
            <w:shd w:val="clear" w:color="auto" w:fill="E8EEF5"/>
            <w:tcMar>
              <w:top w:w="80" w:type="dxa"/>
              <w:left w:w="120" w:type="dxa"/>
              <w:bottom w:w="80" w:type="dxa"/>
              <w:right w:w="120" w:type="dxa"/>
            </w:tcMar>
            <w:vAlign w:val="center"/>
          </w:tcPr>
          <w:p w14:paraId="613E3DA7">
            <w:pPr>
              <w:spacing w:after="0" w:line="240" w:lineRule="auto"/>
            </w:pPr>
            <w:r>
              <w:rPr>
                <w:rFonts w:ascii="Calibri" w:hAnsi="Calibri"/>
                <w:b/>
                <w:color w:val="0B2545"/>
                <w:sz w:val="19"/>
              </w:rPr>
              <w:t>Purpose</w:t>
            </w:r>
          </w:p>
        </w:tc>
        <w:tc>
          <w:tcPr>
            <w:tcW w:w="2448" w:type="dxa"/>
            <w:shd w:val="clear" w:color="auto" w:fill="E8EEF5"/>
            <w:tcMar>
              <w:top w:w="80" w:type="dxa"/>
              <w:left w:w="120" w:type="dxa"/>
              <w:bottom w:w="80" w:type="dxa"/>
              <w:right w:w="120" w:type="dxa"/>
            </w:tcMar>
            <w:vAlign w:val="center"/>
          </w:tcPr>
          <w:p w14:paraId="62A8CA83">
            <w:pPr>
              <w:spacing w:after="0" w:line="240" w:lineRule="auto"/>
            </w:pPr>
            <w:r>
              <w:rPr>
                <w:rFonts w:ascii="Calibri" w:hAnsi="Calibri"/>
                <w:b/>
                <w:color w:val="0B2545"/>
                <w:sz w:val="19"/>
              </w:rPr>
              <w:t>Permission pattern</w:t>
            </w:r>
          </w:p>
        </w:tc>
      </w:tr>
      <w:tr w14:paraId="37CE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2F00AA06">
            <w:pPr>
              <w:spacing w:after="0" w:line="240" w:lineRule="auto"/>
            </w:pPr>
            <w:r>
              <w:rPr>
                <w:rFonts w:ascii="Calibri" w:hAnsi="Calibri"/>
                <w:color w:val="000000"/>
                <w:sz w:val="18"/>
              </w:rPr>
              <w:t>landing/</w:t>
            </w:r>
          </w:p>
        </w:tc>
        <w:tc>
          <w:tcPr>
            <w:tcW w:w="3120" w:type="dxa"/>
            <w:tcMar>
              <w:top w:w="80" w:type="dxa"/>
              <w:left w:w="120" w:type="dxa"/>
              <w:bottom w:w="80" w:type="dxa"/>
              <w:right w:w="120" w:type="dxa"/>
            </w:tcMar>
            <w:vAlign w:val="center"/>
          </w:tcPr>
          <w:p w14:paraId="55927CDB">
            <w:pPr>
              <w:spacing w:after="0" w:line="240" w:lineRule="auto"/>
            </w:pPr>
            <w:r>
              <w:rPr>
                <w:rFonts w:ascii="Calibri" w:hAnsi="Calibri"/>
                <w:color w:val="000000"/>
                <w:sz w:val="18"/>
              </w:rPr>
              <w:t>New source file queue</w:t>
            </w:r>
          </w:p>
        </w:tc>
        <w:tc>
          <w:tcPr>
            <w:tcW w:w="3120" w:type="dxa"/>
            <w:tcMar>
              <w:top w:w="80" w:type="dxa"/>
              <w:left w:w="120" w:type="dxa"/>
              <w:bottom w:w="80" w:type="dxa"/>
              <w:right w:w="120" w:type="dxa"/>
            </w:tcMar>
            <w:vAlign w:val="center"/>
          </w:tcPr>
          <w:p w14:paraId="39BE3F3C">
            <w:pPr>
              <w:spacing w:after="0" w:line="240" w:lineRule="auto"/>
            </w:pPr>
            <w:r>
              <w:rPr>
                <w:rFonts w:ascii="Calibri" w:hAnsi="Calibri"/>
                <w:color w:val="000000"/>
                <w:sz w:val="18"/>
              </w:rPr>
              <w:t>List and Get; Delete only after successful archive/reject routing.</w:t>
            </w:r>
          </w:p>
        </w:tc>
      </w:tr>
      <w:tr w14:paraId="20DA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9369725">
            <w:pPr>
              <w:spacing w:after="0" w:line="240" w:lineRule="auto"/>
            </w:pPr>
            <w:r>
              <w:rPr>
                <w:rFonts w:ascii="Calibri" w:hAnsi="Calibri"/>
                <w:color w:val="000000"/>
                <w:sz w:val="18"/>
              </w:rPr>
              <w:t>archive/</w:t>
            </w:r>
          </w:p>
        </w:tc>
        <w:tc>
          <w:tcPr>
            <w:tcW w:w="3120" w:type="dxa"/>
            <w:tcMar>
              <w:top w:w="80" w:type="dxa"/>
              <w:left w:w="120" w:type="dxa"/>
              <w:bottom w:w="80" w:type="dxa"/>
              <w:right w:w="120" w:type="dxa"/>
            </w:tcMar>
            <w:vAlign w:val="center"/>
          </w:tcPr>
          <w:p w14:paraId="0A957E62">
            <w:pPr>
              <w:spacing w:after="0" w:line="240" w:lineRule="auto"/>
            </w:pPr>
            <w:r>
              <w:rPr>
                <w:rFonts w:ascii="Calibri" w:hAnsi="Calibri"/>
                <w:color w:val="000000"/>
                <w:sz w:val="18"/>
              </w:rPr>
              <w:t>Successfully completed source evidence</w:t>
            </w:r>
          </w:p>
        </w:tc>
        <w:tc>
          <w:tcPr>
            <w:tcW w:w="3120" w:type="dxa"/>
            <w:tcMar>
              <w:top w:w="80" w:type="dxa"/>
              <w:left w:w="120" w:type="dxa"/>
              <w:bottom w:w="80" w:type="dxa"/>
              <w:right w:w="120" w:type="dxa"/>
            </w:tcMar>
            <w:vAlign w:val="center"/>
          </w:tcPr>
          <w:p w14:paraId="223CC991">
            <w:pPr>
              <w:spacing w:after="0" w:line="240" w:lineRule="auto"/>
            </w:pPr>
            <w:r>
              <w:rPr>
                <w:rFonts w:ascii="Calibri" w:hAnsi="Calibri"/>
                <w:color w:val="000000"/>
                <w:sz w:val="18"/>
              </w:rPr>
              <w:t>List and Put.</w:t>
            </w:r>
          </w:p>
        </w:tc>
      </w:tr>
      <w:tr w14:paraId="2978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65423B4">
            <w:pPr>
              <w:spacing w:after="0" w:line="240" w:lineRule="auto"/>
            </w:pPr>
            <w:r>
              <w:rPr>
                <w:rFonts w:ascii="Calibri" w:hAnsi="Calibri"/>
                <w:color w:val="000000"/>
                <w:sz w:val="18"/>
              </w:rPr>
              <w:t>reject/duplicates/</w:t>
            </w:r>
          </w:p>
        </w:tc>
        <w:tc>
          <w:tcPr>
            <w:tcW w:w="3120" w:type="dxa"/>
            <w:tcMar>
              <w:top w:w="80" w:type="dxa"/>
              <w:left w:w="120" w:type="dxa"/>
              <w:bottom w:w="80" w:type="dxa"/>
              <w:right w:w="120" w:type="dxa"/>
            </w:tcMar>
            <w:vAlign w:val="center"/>
          </w:tcPr>
          <w:p w14:paraId="5497C068">
            <w:pPr>
              <w:spacing w:after="0" w:line="240" w:lineRule="auto"/>
            </w:pPr>
            <w:r>
              <w:rPr>
                <w:rFonts w:ascii="Calibri" w:hAnsi="Calibri"/>
                <w:color w:val="000000"/>
                <w:sz w:val="18"/>
              </w:rPr>
              <w:t>Same content received again under any name</w:t>
            </w:r>
          </w:p>
        </w:tc>
        <w:tc>
          <w:tcPr>
            <w:tcW w:w="3120" w:type="dxa"/>
            <w:tcMar>
              <w:top w:w="80" w:type="dxa"/>
              <w:left w:w="120" w:type="dxa"/>
              <w:bottom w:w="80" w:type="dxa"/>
              <w:right w:w="120" w:type="dxa"/>
            </w:tcMar>
            <w:vAlign w:val="center"/>
          </w:tcPr>
          <w:p w14:paraId="344BA75A">
            <w:pPr>
              <w:spacing w:after="0" w:line="240" w:lineRule="auto"/>
            </w:pPr>
            <w:r>
              <w:rPr>
                <w:rFonts w:ascii="Calibri" w:hAnsi="Calibri"/>
                <w:color w:val="000000"/>
                <w:sz w:val="18"/>
              </w:rPr>
              <w:t>List and Put.</w:t>
            </w:r>
          </w:p>
        </w:tc>
      </w:tr>
      <w:tr w14:paraId="7D87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A13A2C4">
            <w:pPr>
              <w:spacing w:after="0" w:line="240" w:lineRule="auto"/>
            </w:pPr>
            <w:r>
              <w:rPr>
                <w:rFonts w:ascii="Calibri" w:hAnsi="Calibri"/>
                <w:color w:val="000000"/>
                <w:sz w:val="18"/>
              </w:rPr>
              <w:t>reject/validation_failed/</w:t>
            </w:r>
          </w:p>
        </w:tc>
        <w:tc>
          <w:tcPr>
            <w:tcW w:w="3120" w:type="dxa"/>
            <w:tcMar>
              <w:top w:w="80" w:type="dxa"/>
              <w:left w:w="120" w:type="dxa"/>
              <w:bottom w:w="80" w:type="dxa"/>
              <w:right w:w="120" w:type="dxa"/>
            </w:tcMar>
            <w:vAlign w:val="center"/>
          </w:tcPr>
          <w:p w14:paraId="288DE64A">
            <w:pPr>
              <w:spacing w:after="0" w:line="240" w:lineRule="auto"/>
            </w:pPr>
            <w:r>
              <w:rPr>
                <w:rFonts w:ascii="Calibri" w:hAnsi="Calibri"/>
                <w:color w:val="000000"/>
                <w:sz w:val="18"/>
              </w:rPr>
              <w:t>Reserved destination for invalid-source processing failures</w:t>
            </w:r>
          </w:p>
        </w:tc>
        <w:tc>
          <w:tcPr>
            <w:tcW w:w="3120" w:type="dxa"/>
            <w:tcMar>
              <w:top w:w="80" w:type="dxa"/>
              <w:left w:w="120" w:type="dxa"/>
              <w:bottom w:w="80" w:type="dxa"/>
              <w:right w:w="120" w:type="dxa"/>
            </w:tcMar>
            <w:vAlign w:val="center"/>
          </w:tcPr>
          <w:p w14:paraId="0AD3547B">
            <w:pPr>
              <w:spacing w:after="0" w:line="240" w:lineRule="auto"/>
            </w:pPr>
            <w:r>
              <w:rPr>
                <w:rFonts w:ascii="Calibri" w:hAnsi="Calibri"/>
                <w:color w:val="000000"/>
                <w:sz w:val="18"/>
              </w:rPr>
              <w:t>List and Put; routing implementation remains pending.</w:t>
            </w:r>
          </w:p>
        </w:tc>
      </w:tr>
    </w:tbl>
    <w:p w14:paraId="6AC08F2F">
      <w:pPr>
        <w:spacing w:after="60"/>
      </w:pPr>
    </w:p>
    <w:p w14:paraId="0E7EE8D9">
      <w:pPr>
        <w:pStyle w:val="2"/>
      </w:pPr>
      <w:r>
        <w:rPr>
          <w:rFonts w:ascii="Calibri" w:hAnsi="Calibri"/>
          <w:b/>
          <w:color w:val="2E74B5"/>
          <w:sz w:val="32"/>
        </w:rPr>
        <w:t>7. Validation and audit improvements</w:t>
      </w:r>
    </w:p>
    <w:p w14:paraId="0C6E0EAA">
      <w:pPr>
        <w:pStyle w:val="3"/>
      </w:pPr>
      <w:r>
        <w:rPr>
          <w:rFonts w:ascii="Calibri" w:hAnsi="Calibri"/>
          <w:b/>
          <w:color w:val="2E74B5"/>
          <w:sz w:val="26"/>
        </w:rPr>
        <w:t>7.1 Dedicated validation notebooks</w:t>
      </w:r>
    </w:p>
    <w:p w14:paraId="249FD09C">
      <w:pPr>
        <w:spacing w:after="120" w:line="264" w:lineRule="auto"/>
      </w:pPr>
      <w:r>
        <w:rPr>
          <w:rFonts w:ascii="Calibri" w:hAnsi="Calibri"/>
          <w:color w:val="000000"/>
          <w:sz w:val="22"/>
        </w:rPr>
        <w:t>To make the demo and review evidence clearer, validation is being separated from transformation notebooks. A Bronze validation notebook was created with ten cells for batch-specific operational checks. This keeps the Bronze and Silver transformation notebooks focused and makes before/after evidence easy to query during the demo.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A59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92" w:type="dxa"/>
            <w:shd w:val="clear" w:color="auto" w:fill="E8EEF5"/>
            <w:tcMar>
              <w:top w:w="80" w:type="dxa"/>
              <w:left w:w="120" w:type="dxa"/>
              <w:bottom w:w="80" w:type="dxa"/>
              <w:right w:w="120" w:type="dxa"/>
            </w:tcMar>
            <w:vAlign w:val="center"/>
          </w:tcPr>
          <w:p w14:paraId="01ECB3E1">
            <w:pPr>
              <w:spacing w:after="0" w:line="240" w:lineRule="auto"/>
            </w:pPr>
            <w:r>
              <w:rPr>
                <w:rFonts w:ascii="Calibri" w:hAnsi="Calibri"/>
                <w:b/>
                <w:color w:val="0B2545"/>
                <w:sz w:val="19"/>
              </w:rPr>
              <w:t>Validation area</w:t>
            </w:r>
          </w:p>
        </w:tc>
        <w:tc>
          <w:tcPr>
            <w:tcW w:w="6768" w:type="dxa"/>
            <w:shd w:val="clear" w:color="auto" w:fill="E8EEF5"/>
            <w:tcMar>
              <w:top w:w="80" w:type="dxa"/>
              <w:left w:w="120" w:type="dxa"/>
              <w:bottom w:w="80" w:type="dxa"/>
              <w:right w:w="120" w:type="dxa"/>
            </w:tcMar>
            <w:vAlign w:val="center"/>
          </w:tcPr>
          <w:p w14:paraId="32BDAEB1">
            <w:pPr>
              <w:spacing w:after="0" w:line="240" w:lineRule="auto"/>
            </w:pPr>
            <w:r>
              <w:rPr>
                <w:rFonts w:ascii="Calibri" w:hAnsi="Calibri"/>
                <w:b/>
                <w:color w:val="0B2545"/>
                <w:sz w:val="19"/>
              </w:rPr>
              <w:t>Examples of checks</w:t>
            </w:r>
          </w:p>
        </w:tc>
      </w:tr>
      <w:tr w14:paraId="0A8D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CFE97D5">
            <w:pPr>
              <w:spacing w:after="0" w:line="240" w:lineRule="auto"/>
            </w:pPr>
            <w:r>
              <w:rPr>
                <w:rFonts w:ascii="Calibri" w:hAnsi="Calibri"/>
                <w:color w:val="000000"/>
                <w:sz w:val="18"/>
              </w:rPr>
              <w:t>Bronze reconciliation</w:t>
            </w:r>
          </w:p>
        </w:tc>
        <w:tc>
          <w:tcPr>
            <w:tcW w:w="4680" w:type="dxa"/>
            <w:tcMar>
              <w:top w:w="80" w:type="dxa"/>
              <w:left w:w="120" w:type="dxa"/>
              <w:bottom w:w="80" w:type="dxa"/>
              <w:right w:w="120" w:type="dxa"/>
            </w:tcMar>
            <w:vAlign w:val="center"/>
          </w:tcPr>
          <w:p w14:paraId="24F7C9CE">
            <w:pPr>
              <w:spacing w:after="0" w:line="240" w:lineRule="auto"/>
            </w:pPr>
            <w:r>
              <w:rPr>
                <w:rFonts w:ascii="Calibri" w:hAnsi="Calibri"/>
                <w:color w:val="000000"/>
                <w:sz w:val="18"/>
              </w:rPr>
              <w:t>Source rows vs Bronze rows, audit status, batch/source evidence, load-date and batch counts.</w:t>
            </w:r>
          </w:p>
        </w:tc>
      </w:tr>
      <w:tr w14:paraId="19E2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DC55239">
            <w:pPr>
              <w:spacing w:after="0" w:line="240" w:lineRule="auto"/>
            </w:pPr>
            <w:r>
              <w:rPr>
                <w:rFonts w:ascii="Calibri" w:hAnsi="Calibri"/>
                <w:color w:val="000000"/>
                <w:sz w:val="18"/>
              </w:rPr>
              <w:t>Bronze data quality</w:t>
            </w:r>
          </w:p>
        </w:tc>
        <w:tc>
          <w:tcPr>
            <w:tcW w:w="4680" w:type="dxa"/>
            <w:tcMar>
              <w:top w:w="80" w:type="dxa"/>
              <w:left w:w="120" w:type="dxa"/>
              <w:bottom w:w="80" w:type="dxa"/>
              <w:right w:w="120" w:type="dxa"/>
            </w:tcMar>
            <w:vAlign w:val="center"/>
          </w:tcPr>
          <w:p w14:paraId="5F0D21DB">
            <w:pPr>
              <w:spacing w:after="0" w:line="240" w:lineRule="auto"/>
            </w:pPr>
            <w:r>
              <w:rPr>
                <w:rFonts w:ascii="Calibri" w:hAnsi="Calibri"/>
                <w:color w:val="000000"/>
                <w:sz w:val="18"/>
              </w:rPr>
              <w:t>Null Time/Amount/Class, negative Amount, invalid Class values, exact duplicate group inspection.</w:t>
            </w:r>
          </w:p>
        </w:tc>
      </w:tr>
      <w:tr w14:paraId="4A7D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CE2D527">
            <w:pPr>
              <w:spacing w:after="0" w:line="240" w:lineRule="auto"/>
            </w:pPr>
            <w:r>
              <w:rPr>
                <w:rFonts w:ascii="Calibri" w:hAnsi="Calibri"/>
                <w:color w:val="000000"/>
                <w:sz w:val="18"/>
              </w:rPr>
              <w:t>Silver reconciliation</w:t>
            </w:r>
          </w:p>
        </w:tc>
        <w:tc>
          <w:tcPr>
            <w:tcW w:w="4680" w:type="dxa"/>
            <w:tcMar>
              <w:top w:w="80" w:type="dxa"/>
              <w:left w:w="120" w:type="dxa"/>
              <w:bottom w:w="80" w:type="dxa"/>
              <w:right w:w="120" w:type="dxa"/>
            </w:tcMar>
            <w:vAlign w:val="center"/>
          </w:tcPr>
          <w:p w14:paraId="28B98391">
            <w:pPr>
              <w:spacing w:after="0" w:line="240" w:lineRule="auto"/>
            </w:pPr>
            <w:r>
              <w:rPr>
                <w:rFonts w:ascii="Calibri" w:hAnsi="Calibri"/>
                <w:color w:val="000000"/>
                <w:sz w:val="18"/>
              </w:rPr>
              <w:t>Bronze batch rows, duplicate removal count, invalid removal count, final Silver count, Silver audit status.</w:t>
            </w:r>
          </w:p>
        </w:tc>
      </w:tr>
      <w:tr w14:paraId="375D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FEDE8D4">
            <w:pPr>
              <w:spacing w:after="0" w:line="240" w:lineRule="auto"/>
            </w:pPr>
            <w:r>
              <w:rPr>
                <w:rFonts w:ascii="Calibri" w:hAnsi="Calibri"/>
                <w:color w:val="000000"/>
                <w:sz w:val="18"/>
              </w:rPr>
              <w:t>Snowflake validation</w:t>
            </w:r>
          </w:p>
        </w:tc>
        <w:tc>
          <w:tcPr>
            <w:tcW w:w="4680" w:type="dxa"/>
            <w:tcMar>
              <w:top w:w="80" w:type="dxa"/>
              <w:left w:w="120" w:type="dxa"/>
              <w:bottom w:w="80" w:type="dxa"/>
              <w:right w:w="120" w:type="dxa"/>
            </w:tcMar>
            <w:vAlign w:val="center"/>
          </w:tcPr>
          <w:p w14:paraId="1AA169A5">
            <w:pPr>
              <w:spacing w:after="0" w:line="240" w:lineRule="auto"/>
            </w:pPr>
            <w:r>
              <w:rPr>
                <w:rFonts w:ascii="Calibri" w:hAnsi="Calibri"/>
                <w:color w:val="000000"/>
                <w:sz w:val="18"/>
              </w:rPr>
              <w:t>Silver selected-batch count matches FRAUD_DB.RAW.TRANSACTIONS after guarded append.</w:t>
            </w:r>
          </w:p>
        </w:tc>
      </w:tr>
      <w:tr w14:paraId="4BD7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AD2CEB6">
            <w:pPr>
              <w:spacing w:after="0" w:line="240" w:lineRule="auto"/>
            </w:pPr>
            <w:r>
              <w:rPr>
                <w:rFonts w:ascii="Calibri" w:hAnsi="Calibri"/>
                <w:color w:val="000000"/>
                <w:sz w:val="18"/>
              </w:rPr>
              <w:t>Gold validation</w:t>
            </w:r>
          </w:p>
        </w:tc>
        <w:tc>
          <w:tcPr>
            <w:tcW w:w="4680" w:type="dxa"/>
            <w:tcMar>
              <w:top w:w="80" w:type="dxa"/>
              <w:left w:w="120" w:type="dxa"/>
              <w:bottom w:w="80" w:type="dxa"/>
              <w:right w:w="120" w:type="dxa"/>
            </w:tcMar>
            <w:vAlign w:val="center"/>
          </w:tcPr>
          <w:p w14:paraId="40F9B819">
            <w:pPr>
              <w:spacing w:after="0" w:line="240" w:lineRule="auto"/>
            </w:pPr>
            <w:r>
              <w:rPr>
                <w:rFonts w:ascii="Calibri" w:hAnsi="Calibri"/>
                <w:color w:val="000000"/>
                <w:sz w:val="18"/>
              </w:rPr>
              <w:t>Top 100 review queue records sorted by priority, review score, amount percentile and transaction time; expected Gold-object counts.</w:t>
            </w:r>
          </w:p>
        </w:tc>
      </w:tr>
    </w:tbl>
    <w:p w14:paraId="36DDEF3E">
      <w:pPr>
        <w:spacing w:after="60"/>
      </w:pPr>
    </w:p>
    <w:p w14:paraId="2B54D690">
      <w:pPr>
        <w:pStyle w:val="3"/>
      </w:pPr>
      <w:r>
        <w:rPr>
          <w:rFonts w:ascii="Calibri" w:hAnsi="Calibri"/>
          <w:b/>
          <w:color w:val="2E74B5"/>
          <w:sz w:val="26"/>
        </w:rPr>
        <w:t>7.2 Batch and load-date reporting</w:t>
      </w:r>
    </w:p>
    <w:p w14:paraId="5582B2A0">
      <w:pPr>
        <w:spacing w:after="120" w:line="264" w:lineRule="auto"/>
      </w:pPr>
      <w:r>
        <w:rPr>
          <w:rFonts w:ascii="Calibri" w:hAnsi="Calibri"/>
          <w:color w:val="000000"/>
          <w:sz w:val="22"/>
        </w:rPr>
        <w:t>Batch_ID-wise and load_date-wise counts were added as evidence requirements. They make it possible to demonstrate exactly which source batch was processed, when it arrived, and how many rows travelled through each layer.</w:t>
      </w:r>
    </w:p>
    <w:p w14:paraId="75769593">
      <w:pPr>
        <w:pStyle w:val="2"/>
      </w:pPr>
      <w:r>
        <w:rPr>
          <w:rFonts w:ascii="Calibri" w:hAnsi="Calibri"/>
          <w:b/>
          <w:color w:val="2E74B5"/>
          <w:sz w:val="32"/>
        </w:rPr>
        <w:t>8. Streamlit dashboard improvements</w:t>
      </w:r>
    </w:p>
    <w:p w14:paraId="2F41708C">
      <w:pPr>
        <w:spacing w:after="120" w:line="264" w:lineRule="auto"/>
      </w:pPr>
      <w:r>
        <w:rPr>
          <w:rFonts w:ascii="Calibri" w:hAnsi="Calibri"/>
          <w:color w:val="000000"/>
          <w:sz w:val="22"/>
        </w:rPr>
        <w:t>The Snowflake-native Streamlit app was redesigned as a more polished operational dashboard. It uses business-friendly labels rather than underscored database names and makes it clear that review priority is not a confirmed fraud decision.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35A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64" w:type="dxa"/>
            <w:shd w:val="clear" w:color="auto" w:fill="E8EEF5"/>
            <w:tcMar>
              <w:top w:w="80" w:type="dxa"/>
              <w:left w:w="120" w:type="dxa"/>
              <w:bottom w:w="80" w:type="dxa"/>
              <w:right w:w="120" w:type="dxa"/>
            </w:tcMar>
            <w:vAlign w:val="center"/>
          </w:tcPr>
          <w:p w14:paraId="3E652FB1">
            <w:pPr>
              <w:spacing w:after="0" w:line="240" w:lineRule="auto"/>
            </w:pPr>
            <w:r>
              <w:rPr>
                <w:rFonts w:ascii="Calibri" w:hAnsi="Calibri"/>
                <w:b/>
                <w:color w:val="0B2545"/>
                <w:sz w:val="19"/>
              </w:rPr>
              <w:t>Improvement</w:t>
            </w:r>
          </w:p>
        </w:tc>
        <w:tc>
          <w:tcPr>
            <w:tcW w:w="6696" w:type="dxa"/>
            <w:shd w:val="clear" w:color="auto" w:fill="E8EEF5"/>
            <w:tcMar>
              <w:top w:w="80" w:type="dxa"/>
              <w:left w:w="120" w:type="dxa"/>
              <w:bottom w:w="80" w:type="dxa"/>
              <w:right w:w="120" w:type="dxa"/>
            </w:tcMar>
            <w:vAlign w:val="center"/>
          </w:tcPr>
          <w:p w14:paraId="6EB6E96A">
            <w:pPr>
              <w:spacing w:after="0" w:line="240" w:lineRule="auto"/>
            </w:pPr>
            <w:r>
              <w:rPr>
                <w:rFonts w:ascii="Calibri" w:hAnsi="Calibri"/>
                <w:b/>
                <w:color w:val="0B2545"/>
                <w:sz w:val="19"/>
              </w:rPr>
              <w:t>Latest behavior</w:t>
            </w:r>
          </w:p>
        </w:tc>
      </w:tr>
      <w:tr w14:paraId="5228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1041B054">
            <w:pPr>
              <w:spacing w:after="0" w:line="240" w:lineRule="auto"/>
            </w:pPr>
            <w:r>
              <w:rPr>
                <w:rFonts w:ascii="Calibri" w:hAnsi="Calibri"/>
                <w:color w:val="000000"/>
                <w:sz w:val="18"/>
              </w:rPr>
              <w:t>KPI cards</w:t>
            </w:r>
          </w:p>
        </w:tc>
        <w:tc>
          <w:tcPr>
            <w:tcW w:w="4680" w:type="dxa"/>
            <w:tcMar>
              <w:top w:w="80" w:type="dxa"/>
              <w:left w:w="120" w:type="dxa"/>
              <w:bottom w:w="80" w:type="dxa"/>
              <w:right w:w="120" w:type="dxa"/>
            </w:tcMar>
            <w:vAlign w:val="center"/>
          </w:tcPr>
          <w:p w14:paraId="6622438D">
            <w:pPr>
              <w:spacing w:after="0" w:line="240" w:lineRule="auto"/>
            </w:pPr>
            <w:r>
              <w:rPr>
                <w:rFonts w:ascii="Calibri" w:hAnsi="Calibri"/>
                <w:color w:val="000000"/>
                <w:sz w:val="18"/>
              </w:rPr>
              <w:t>Total transactions, total transaction amount, High review priority, and Medium review priority are displayed as cards.</w:t>
            </w:r>
          </w:p>
        </w:tc>
      </w:tr>
      <w:tr w14:paraId="0E0B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059DF5BB">
            <w:pPr>
              <w:spacing w:after="0" w:line="240" w:lineRule="auto"/>
            </w:pPr>
            <w:r>
              <w:rPr>
                <w:rFonts w:ascii="Calibri" w:hAnsi="Calibri"/>
                <w:color w:val="000000"/>
                <w:sz w:val="18"/>
              </w:rPr>
              <w:t>Readable labels</w:t>
            </w:r>
          </w:p>
        </w:tc>
        <w:tc>
          <w:tcPr>
            <w:tcW w:w="4680" w:type="dxa"/>
            <w:tcMar>
              <w:top w:w="80" w:type="dxa"/>
              <w:left w:w="120" w:type="dxa"/>
              <w:bottom w:w="80" w:type="dxa"/>
              <w:right w:w="120" w:type="dxa"/>
            </w:tcMar>
            <w:vAlign w:val="center"/>
          </w:tcPr>
          <w:p w14:paraId="4AC857BC">
            <w:pPr>
              <w:spacing w:after="0" w:line="240" w:lineRule="auto"/>
            </w:pPr>
            <w:r>
              <w:rPr>
                <w:rFonts w:ascii="Calibri" w:hAnsi="Calibri"/>
                <w:color w:val="000000"/>
                <w:sz w:val="18"/>
              </w:rPr>
              <w:t>Examples: Review Priority, Transaction Time, Amount Range, Time Segment and Time Window.</w:t>
            </w:r>
          </w:p>
        </w:tc>
      </w:tr>
      <w:tr w14:paraId="5282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F60B616">
            <w:pPr>
              <w:spacing w:after="0" w:line="240" w:lineRule="auto"/>
            </w:pPr>
            <w:r>
              <w:rPr>
                <w:rFonts w:ascii="Calibri" w:hAnsi="Calibri"/>
                <w:color w:val="000000"/>
                <w:sz w:val="18"/>
              </w:rPr>
              <w:t>Filters</w:t>
            </w:r>
          </w:p>
        </w:tc>
        <w:tc>
          <w:tcPr>
            <w:tcW w:w="4680" w:type="dxa"/>
            <w:tcMar>
              <w:top w:w="80" w:type="dxa"/>
              <w:left w:w="120" w:type="dxa"/>
              <w:bottom w:w="80" w:type="dxa"/>
              <w:right w:w="120" w:type="dxa"/>
            </w:tcMar>
            <w:vAlign w:val="center"/>
          </w:tcPr>
          <w:p w14:paraId="384BE2E1">
            <w:pPr>
              <w:spacing w:after="0" w:line="240" w:lineRule="auto"/>
            </w:pPr>
            <w:r>
              <w:rPr>
                <w:rFonts w:ascii="Calibri" w:hAnsi="Calibri"/>
                <w:color w:val="000000"/>
                <w:sz w:val="18"/>
              </w:rPr>
              <w:t>Review priority, time segment, time window, amount range, transaction date range, transaction-ID search and top-N selection.</w:t>
            </w:r>
          </w:p>
        </w:tc>
      </w:tr>
      <w:tr w14:paraId="6BA9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066392BE">
            <w:pPr>
              <w:spacing w:after="0" w:line="240" w:lineRule="auto"/>
            </w:pPr>
            <w:r>
              <w:rPr>
                <w:rFonts w:ascii="Calibri" w:hAnsi="Calibri"/>
                <w:color w:val="000000"/>
                <w:sz w:val="18"/>
              </w:rPr>
              <w:t>Amount control</w:t>
            </w:r>
          </w:p>
        </w:tc>
        <w:tc>
          <w:tcPr>
            <w:tcW w:w="4680" w:type="dxa"/>
            <w:tcMar>
              <w:top w:w="80" w:type="dxa"/>
              <w:left w:w="120" w:type="dxa"/>
              <w:bottom w:w="80" w:type="dxa"/>
              <w:right w:w="120" w:type="dxa"/>
            </w:tcMar>
            <w:vAlign w:val="center"/>
          </w:tcPr>
          <w:p w14:paraId="52D289EF">
            <w:pPr>
              <w:spacing w:after="0" w:line="240" w:lineRule="auto"/>
            </w:pPr>
            <w:r>
              <w:rPr>
                <w:rFonts w:ascii="Calibri" w:hAnsi="Calibri"/>
                <w:color w:val="000000"/>
                <w:sz w:val="18"/>
              </w:rPr>
              <w:t>Minimum and maximum amount are included as a range control for clearer analysis.</w:t>
            </w:r>
          </w:p>
        </w:tc>
      </w:tr>
      <w:tr w14:paraId="4428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2D7FD2D">
            <w:pPr>
              <w:spacing w:after="0" w:line="240" w:lineRule="auto"/>
            </w:pPr>
            <w:r>
              <w:rPr>
                <w:rFonts w:ascii="Calibri" w:hAnsi="Calibri"/>
                <w:color w:val="000000"/>
                <w:sz w:val="18"/>
              </w:rPr>
              <w:t>Usability</w:t>
            </w:r>
          </w:p>
        </w:tc>
        <w:tc>
          <w:tcPr>
            <w:tcW w:w="4680" w:type="dxa"/>
            <w:tcMar>
              <w:top w:w="80" w:type="dxa"/>
              <w:left w:w="120" w:type="dxa"/>
              <w:bottom w:w="80" w:type="dxa"/>
              <w:right w:w="120" w:type="dxa"/>
            </w:tcMar>
            <w:vAlign w:val="center"/>
          </w:tcPr>
          <w:p w14:paraId="0757C818">
            <w:pPr>
              <w:spacing w:after="0" w:line="240" w:lineRule="auto"/>
            </w:pPr>
            <w:r>
              <w:rPr>
                <w:rFonts w:ascii="Calibri" w:hAnsi="Calibri"/>
                <w:color w:val="000000"/>
                <w:sz w:val="18"/>
              </w:rPr>
              <w:t>Clear Filters control and CSV download are available for analyst use.</w:t>
            </w:r>
          </w:p>
        </w:tc>
      </w:tr>
      <w:tr w14:paraId="18B4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D0ED81C">
            <w:pPr>
              <w:spacing w:after="0" w:line="240" w:lineRule="auto"/>
            </w:pPr>
            <w:r>
              <w:rPr>
                <w:rFonts w:ascii="Calibri" w:hAnsi="Calibri"/>
                <w:color w:val="000000"/>
                <w:sz w:val="18"/>
              </w:rPr>
              <w:t>Dashboard sections</w:t>
            </w:r>
          </w:p>
        </w:tc>
        <w:tc>
          <w:tcPr>
            <w:tcW w:w="4680" w:type="dxa"/>
            <w:tcMar>
              <w:top w:w="80" w:type="dxa"/>
              <w:left w:w="120" w:type="dxa"/>
              <w:bottom w:w="80" w:type="dxa"/>
              <w:right w:w="120" w:type="dxa"/>
            </w:tcMar>
            <w:vAlign w:val="center"/>
          </w:tcPr>
          <w:p w14:paraId="021E5309">
            <w:pPr>
              <w:spacing w:after="0" w:line="240" w:lineRule="auto"/>
            </w:pPr>
            <w:r>
              <w:rPr>
                <w:rFonts w:ascii="Calibri" w:hAnsi="Calibri"/>
                <w:color w:val="000000"/>
                <w:sz w:val="18"/>
              </w:rPr>
              <w:t>Summary, Daily Transaction Overview, Risk &amp; Time Analysis, Amount Analysis and Analyst Review.</w:t>
            </w:r>
          </w:p>
        </w:tc>
      </w:tr>
      <w:tr w14:paraId="3C5C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65B7B8E5">
            <w:pPr>
              <w:spacing w:after="0" w:line="240" w:lineRule="auto"/>
            </w:pPr>
            <w:r>
              <w:rPr>
                <w:rFonts w:ascii="Calibri" w:hAnsi="Calibri"/>
                <w:color w:val="000000"/>
                <w:sz w:val="18"/>
              </w:rPr>
              <w:t>Analyst queue</w:t>
            </w:r>
          </w:p>
        </w:tc>
        <w:tc>
          <w:tcPr>
            <w:tcW w:w="4680" w:type="dxa"/>
            <w:tcMar>
              <w:top w:w="80" w:type="dxa"/>
              <w:left w:w="120" w:type="dxa"/>
              <w:bottom w:w="80" w:type="dxa"/>
              <w:right w:w="120" w:type="dxa"/>
            </w:tcMar>
            <w:vAlign w:val="center"/>
          </w:tcPr>
          <w:p w14:paraId="0F0A476F">
            <w:pPr>
              <w:spacing w:after="0" w:line="240" w:lineRule="auto"/>
            </w:pPr>
            <w:r>
              <w:rPr>
                <w:rFonts w:ascii="Calibri" w:hAnsi="Calibri"/>
                <w:color w:val="000000"/>
                <w:sz w:val="18"/>
              </w:rPr>
              <w:t>A filterable live queue uses the Gold view and clear aliases.</w:t>
            </w:r>
          </w:p>
        </w:tc>
      </w:tr>
    </w:tbl>
    <w:p w14:paraId="581D57B8">
      <w:pPr>
        <w:spacing w:after="60"/>
      </w:pPr>
    </w:p>
    <w:p w14:paraId="63B4D630">
      <w:pPr>
        <w:pStyle w:val="2"/>
      </w:pPr>
      <w:r>
        <w:rPr>
          <w:rFonts w:ascii="Calibri" w:hAnsi="Calibri"/>
          <w:b/>
          <w:color w:val="2E74B5"/>
          <w:sz w:val="32"/>
        </w:rPr>
        <w:t>9. Controlled final rebuild plan</w:t>
      </w:r>
    </w:p>
    <w:p w14:paraId="7A19F486">
      <w:pPr>
        <w:spacing w:after="120" w:line="264" w:lineRule="auto"/>
      </w:pPr>
      <w:r>
        <w:rPr>
          <w:rFonts w:ascii="Calibri" w:hAnsi="Calibri"/>
          <w:color w:val="000000"/>
          <w:sz w:val="22"/>
        </w:rPr>
        <w:t>Do not remove the Snowflake legacy backup. Once the final Bronze and Silver notebook content is confirmed, perform one controlled clean rebuild so all physical tables match this document.</w:t>
      </w:r>
    </w:p>
    <w:p w14:paraId="71865D9C">
      <w:pPr>
        <w:pStyle w:val="29"/>
        <w:spacing w:after="80" w:line="276" w:lineRule="auto"/>
      </w:pPr>
      <w:r>
        <w:rPr>
          <w:rFonts w:ascii="Calibri" w:hAnsi="Calibri"/>
          <w:color w:val="000000"/>
          <w:sz w:val="21"/>
        </w:rPr>
        <w:t>Keep FRAUD_DB.RAW.TRANSACTIONS_LEGACY_20260807 as the historic backup.</w:t>
      </w:r>
    </w:p>
    <w:p w14:paraId="319A5D23">
      <w:pPr>
        <w:pStyle w:val="29"/>
        <w:spacing w:after="80" w:line="276" w:lineRule="auto"/>
      </w:pPr>
      <w:r>
        <w:rPr>
          <w:rFonts w:ascii="Calibri" w:hAnsi="Calibri"/>
          <w:color w:val="000000"/>
          <w:sz w:val="21"/>
        </w:rPr>
        <w:t>Confirm final Bronze has no SELECT DISTINCT and final Silver only persists the agreed required columns.</w:t>
      </w:r>
    </w:p>
    <w:p w14:paraId="61B92411">
      <w:pPr>
        <w:pStyle w:val="29"/>
        <w:spacing w:after="80" w:line="276" w:lineRule="auto"/>
      </w:pPr>
      <w:r>
        <w:rPr>
          <w:rFonts w:ascii="Calibri" w:hAnsi="Calibri"/>
          <w:color w:val="000000"/>
          <w:sz w:val="21"/>
        </w:rPr>
        <w:t>Truncate or recreate final pipeline tables/audits according to the approved rebuild plan; remove obsolete historical objects only after confirming the backup.</w:t>
      </w:r>
    </w:p>
    <w:p w14:paraId="77559C88">
      <w:pPr>
        <w:pStyle w:val="29"/>
        <w:spacing w:after="80" w:line="276" w:lineRule="auto"/>
      </w:pPr>
      <w:r>
        <w:rPr>
          <w:rFonts w:ascii="Calibri" w:hAnsi="Calibri"/>
          <w:color w:val="000000"/>
          <w:sz w:val="21"/>
        </w:rPr>
        <w:t>Place the original creditcard.csv in landing/ and run the full Dagster pipeline with the sensor disabled or a controlled manual run.</w:t>
      </w:r>
    </w:p>
    <w:p w14:paraId="3126CCD6">
      <w:pPr>
        <w:pStyle w:val="29"/>
        <w:spacing w:after="80" w:line="276" w:lineRule="auto"/>
      </w:pPr>
      <w:r>
        <w:rPr>
          <w:rFonts w:ascii="Calibri" w:hAnsi="Calibri"/>
          <w:color w:val="000000"/>
          <w:sz w:val="21"/>
        </w:rPr>
        <w:t>Validate source 284,807 → Bronze 284,807; validate Silver expected unique count 283,726; reconcile selected batch with Snowflake RAW.</w:t>
      </w:r>
    </w:p>
    <w:p w14:paraId="4FE00F84">
      <w:pPr>
        <w:pStyle w:val="29"/>
        <w:spacing w:after="80" w:line="276" w:lineRule="auto"/>
      </w:pPr>
      <w:r>
        <w:rPr>
          <w:rFonts w:ascii="Calibri" w:hAnsi="Calibri"/>
          <w:color w:val="000000"/>
          <w:sz w:val="21"/>
        </w:rPr>
        <w:t>Run ANALYTICS.REFRESH_FRAUD_GOLD(), validate all three Gold tables and the analyst view, then confirm Streamlit.</w:t>
      </w:r>
    </w:p>
    <w:p w14:paraId="6673D543">
      <w:pPr>
        <w:pStyle w:val="29"/>
        <w:spacing w:after="80" w:line="276" w:lineRule="auto"/>
      </w:pPr>
      <w:r>
        <w:rPr>
          <w:rFonts w:ascii="Calibri" w:hAnsi="Calibri"/>
          <w:color w:val="000000"/>
          <w:sz w:val="21"/>
        </w:rPr>
        <w:t>Test a new valid batch, same-content/different-name duplicate routing, successful archive routing, and the single-active-run sensor guard.</w:t>
      </w:r>
    </w:p>
    <w:tbl>
      <w:tblPr>
        <w:tblStyle w:val="12"/>
        <w:tblW w:w="0" w:type="auto"/>
        <w:tblInd w:w="0" w:type="dxa"/>
        <w:tblLayout w:type="fixed"/>
        <w:tblCellMar>
          <w:top w:w="0" w:type="dxa"/>
          <w:left w:w="108" w:type="dxa"/>
          <w:bottom w:w="0" w:type="dxa"/>
          <w:right w:w="108" w:type="dxa"/>
        </w:tblCellMar>
      </w:tblPr>
      <w:tblGrid>
        <w:gridCol w:w="9360"/>
      </w:tblGrid>
      <w:tr w14:paraId="64371A4C">
        <w:tblPrEx>
          <w:tblCellMar>
            <w:top w:w="0" w:type="dxa"/>
            <w:left w:w="108" w:type="dxa"/>
            <w:bottom w:w="0" w:type="dxa"/>
            <w:right w:w="108" w:type="dxa"/>
          </w:tblCellMar>
        </w:tblPrEx>
        <w:tc>
          <w:tcPr>
            <w:tcW w:w="9360" w:type="dxa"/>
            <w:shd w:val="clear" w:color="auto" w:fill="FFF2CC"/>
            <w:tcMar>
              <w:top w:w="120" w:type="dxa"/>
              <w:left w:w="160" w:type="dxa"/>
              <w:bottom w:w="120" w:type="dxa"/>
              <w:right w:w="160" w:type="dxa"/>
            </w:tcMar>
          </w:tcPr>
          <w:p w14:paraId="04CC1107">
            <w:pPr>
              <w:spacing w:after="40"/>
            </w:pPr>
            <w:r>
              <w:rPr>
                <w:rFonts w:ascii="Calibri" w:hAnsi="Calibri"/>
                <w:b/>
                <w:color w:val="0B2545"/>
                <w:sz w:val="21"/>
              </w:rPr>
              <w:t xml:space="preserve">Rebuild rule: </w:t>
            </w:r>
            <w:r>
              <w:rPr>
                <w:rFonts w:ascii="Calibri" w:hAnsi="Calibri"/>
                <w:color w:val="000000"/>
                <w:sz w:val="21"/>
              </w:rPr>
              <w:t>The final Bronze table is the only layer that must match source row-for-row. The Silver count may be lower only because its explicitly documented exact-duplicate policy is applied there.</w:t>
            </w:r>
          </w:p>
        </w:tc>
      </w:tr>
    </w:tbl>
    <w:p w14:paraId="1AE6D9B2">
      <w:pPr>
        <w:spacing w:after="40"/>
      </w:pPr>
    </w:p>
    <w:p w14:paraId="219028CF">
      <w:pPr>
        <w:pStyle w:val="2"/>
      </w:pPr>
      <w:r>
        <w:rPr>
          <w:rFonts w:ascii="Calibri" w:hAnsi="Calibri"/>
          <w:b/>
          <w:color w:val="2E74B5"/>
          <w:sz w:val="32"/>
        </w:rPr>
        <w:t>10. Remaining items and verification checklist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52F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E8EEF5"/>
            <w:tcMar>
              <w:top w:w="80" w:type="dxa"/>
              <w:left w:w="120" w:type="dxa"/>
              <w:bottom w:w="80" w:type="dxa"/>
              <w:right w:w="120" w:type="dxa"/>
            </w:tcMar>
            <w:vAlign w:val="center"/>
          </w:tcPr>
          <w:p w14:paraId="379B005B">
            <w:pPr>
              <w:spacing w:after="0" w:line="240" w:lineRule="auto"/>
            </w:pPr>
            <w:r>
              <w:rPr>
                <w:rFonts w:ascii="Calibri" w:hAnsi="Calibri"/>
                <w:b/>
                <w:color w:val="0B2545"/>
                <w:sz w:val="19"/>
              </w:rPr>
              <w:t>Item</w:t>
            </w:r>
          </w:p>
        </w:tc>
        <w:tc>
          <w:tcPr>
            <w:tcW w:w="4392" w:type="dxa"/>
            <w:shd w:val="clear" w:color="auto" w:fill="E8EEF5"/>
            <w:tcMar>
              <w:top w:w="80" w:type="dxa"/>
              <w:left w:w="120" w:type="dxa"/>
              <w:bottom w:w="80" w:type="dxa"/>
              <w:right w:w="120" w:type="dxa"/>
            </w:tcMar>
            <w:vAlign w:val="center"/>
          </w:tcPr>
          <w:p w14:paraId="08F72240">
            <w:pPr>
              <w:spacing w:after="0" w:line="240" w:lineRule="auto"/>
            </w:pPr>
            <w:r>
              <w:rPr>
                <w:rFonts w:ascii="Calibri" w:hAnsi="Calibri"/>
                <w:b/>
                <w:color w:val="0B2545"/>
                <w:sz w:val="19"/>
              </w:rPr>
              <w:t>Why it matters</w:t>
            </w:r>
          </w:p>
        </w:tc>
        <w:tc>
          <w:tcPr>
            <w:tcW w:w="2088" w:type="dxa"/>
            <w:shd w:val="clear" w:color="auto" w:fill="E8EEF5"/>
            <w:tcMar>
              <w:top w:w="80" w:type="dxa"/>
              <w:left w:w="120" w:type="dxa"/>
              <w:bottom w:w="80" w:type="dxa"/>
              <w:right w:w="120" w:type="dxa"/>
            </w:tcMar>
            <w:vAlign w:val="center"/>
          </w:tcPr>
          <w:p w14:paraId="4FD863C6">
            <w:pPr>
              <w:spacing w:after="0" w:line="240" w:lineRule="auto"/>
            </w:pPr>
            <w:r>
              <w:rPr>
                <w:rFonts w:ascii="Calibri" w:hAnsi="Calibri"/>
                <w:b/>
                <w:color w:val="0B2545"/>
                <w:sz w:val="19"/>
              </w:rPr>
              <w:t>Status</w:t>
            </w:r>
          </w:p>
        </w:tc>
      </w:tr>
      <w:tr w14:paraId="3C5C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321F15DD">
            <w:pPr>
              <w:spacing w:after="0" w:line="240" w:lineRule="auto"/>
            </w:pPr>
            <w:r>
              <w:rPr>
                <w:rFonts w:ascii="Calibri" w:hAnsi="Calibri"/>
                <w:color w:val="000000"/>
                <w:sz w:val="18"/>
              </w:rPr>
              <w:t>Finalize Silver persisted columns</w:t>
            </w:r>
          </w:p>
        </w:tc>
        <w:tc>
          <w:tcPr>
            <w:tcW w:w="3120" w:type="dxa"/>
            <w:tcMar>
              <w:top w:w="80" w:type="dxa"/>
              <w:left w:w="120" w:type="dxa"/>
              <w:bottom w:w="80" w:type="dxa"/>
              <w:right w:w="120" w:type="dxa"/>
            </w:tcMar>
            <w:vAlign w:val="center"/>
          </w:tcPr>
          <w:p w14:paraId="248A2FD1">
            <w:pPr>
              <w:spacing w:after="0" w:line="240" w:lineRule="auto"/>
            </w:pPr>
            <w:r>
              <w:rPr>
                <w:rFonts w:ascii="Calibri" w:hAnsi="Calibri"/>
                <w:color w:val="000000"/>
                <w:sz w:val="18"/>
              </w:rPr>
              <w:t>Ensure only agreed business/analytics fields remain; do not persist intermediate or validation helper columns.</w:t>
            </w:r>
          </w:p>
        </w:tc>
        <w:tc>
          <w:tcPr>
            <w:tcW w:w="3120" w:type="dxa"/>
            <w:shd w:val="clear" w:color="auto" w:fill="FFF2CC"/>
            <w:tcMar>
              <w:top w:w="80" w:type="dxa"/>
              <w:left w:w="120" w:type="dxa"/>
              <w:bottom w:w="80" w:type="dxa"/>
              <w:right w:w="120" w:type="dxa"/>
            </w:tcMar>
            <w:vAlign w:val="center"/>
          </w:tcPr>
          <w:p w14:paraId="4D676EE8">
            <w:pPr>
              <w:spacing w:after="0" w:line="240" w:lineRule="auto"/>
            </w:pPr>
            <w:r>
              <w:rPr>
                <w:rFonts w:ascii="Calibri" w:hAnsi="Calibri"/>
                <w:color w:val="000000"/>
                <w:sz w:val="18"/>
              </w:rPr>
              <w:t>Pending confirmation before rebuild</w:t>
            </w:r>
          </w:p>
        </w:tc>
      </w:tr>
      <w:tr w14:paraId="48C5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83589B9">
            <w:pPr>
              <w:spacing w:after="0" w:line="240" w:lineRule="auto"/>
            </w:pPr>
            <w:r>
              <w:rPr>
                <w:rFonts w:ascii="Calibri" w:hAnsi="Calibri"/>
                <w:color w:val="000000"/>
                <w:sz w:val="18"/>
              </w:rPr>
              <w:t>Create Silver validation notebook</w:t>
            </w:r>
          </w:p>
        </w:tc>
        <w:tc>
          <w:tcPr>
            <w:tcW w:w="3120" w:type="dxa"/>
            <w:tcMar>
              <w:top w:w="80" w:type="dxa"/>
              <w:left w:w="120" w:type="dxa"/>
              <w:bottom w:w="80" w:type="dxa"/>
              <w:right w:w="120" w:type="dxa"/>
            </w:tcMar>
            <w:vAlign w:val="center"/>
          </w:tcPr>
          <w:p w14:paraId="0027EF95">
            <w:pPr>
              <w:spacing w:after="0" w:line="240" w:lineRule="auto"/>
            </w:pPr>
            <w:r>
              <w:rPr>
                <w:rFonts w:ascii="Calibri" w:hAnsi="Calibri"/>
                <w:color w:val="000000"/>
                <w:sz w:val="18"/>
              </w:rPr>
              <w:t>Provide clean, repeatable evidence like Bronze validation.</w:t>
            </w:r>
          </w:p>
        </w:tc>
        <w:tc>
          <w:tcPr>
            <w:tcW w:w="3120" w:type="dxa"/>
            <w:shd w:val="clear" w:color="auto" w:fill="FFF2CC"/>
            <w:tcMar>
              <w:top w:w="80" w:type="dxa"/>
              <w:left w:w="120" w:type="dxa"/>
              <w:bottom w:w="80" w:type="dxa"/>
              <w:right w:w="120" w:type="dxa"/>
            </w:tcMar>
            <w:vAlign w:val="center"/>
          </w:tcPr>
          <w:p w14:paraId="13E5A43C">
            <w:pPr>
              <w:spacing w:after="0" w:line="240" w:lineRule="auto"/>
            </w:pPr>
            <w:r>
              <w:rPr>
                <w:rFonts w:ascii="Calibri" w:hAnsi="Calibri"/>
                <w:color w:val="000000"/>
                <w:sz w:val="18"/>
              </w:rPr>
              <w:t>Pending</w:t>
            </w:r>
          </w:p>
        </w:tc>
      </w:tr>
      <w:tr w14:paraId="692C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7FF8824">
            <w:pPr>
              <w:spacing w:after="0" w:line="240" w:lineRule="auto"/>
            </w:pPr>
            <w:r>
              <w:rPr>
                <w:rFonts w:ascii="Calibri" w:hAnsi="Calibri"/>
                <w:color w:val="000000"/>
                <w:sz w:val="18"/>
              </w:rPr>
              <w:t>Implement validation-failure routing</w:t>
            </w:r>
          </w:p>
        </w:tc>
        <w:tc>
          <w:tcPr>
            <w:tcW w:w="3120" w:type="dxa"/>
            <w:tcMar>
              <w:top w:w="80" w:type="dxa"/>
              <w:left w:w="120" w:type="dxa"/>
              <w:bottom w:w="80" w:type="dxa"/>
              <w:right w:w="120" w:type="dxa"/>
            </w:tcMar>
            <w:vAlign w:val="center"/>
          </w:tcPr>
          <w:p w14:paraId="1877A275">
            <w:pPr>
              <w:spacing w:after="0" w:line="240" w:lineRule="auto"/>
            </w:pPr>
            <w:r>
              <w:rPr>
                <w:rFonts w:ascii="Calibri" w:hAnsi="Calibri"/>
                <w:color w:val="000000"/>
                <w:sz w:val="18"/>
              </w:rPr>
              <w:t>Move invalid files to reject/validation_failed/ with a clear audit status.</w:t>
            </w:r>
          </w:p>
        </w:tc>
        <w:tc>
          <w:tcPr>
            <w:tcW w:w="3120" w:type="dxa"/>
            <w:shd w:val="clear" w:color="auto" w:fill="FFF2CC"/>
            <w:tcMar>
              <w:top w:w="80" w:type="dxa"/>
              <w:left w:w="120" w:type="dxa"/>
              <w:bottom w:w="80" w:type="dxa"/>
              <w:right w:w="120" w:type="dxa"/>
            </w:tcMar>
            <w:vAlign w:val="center"/>
          </w:tcPr>
          <w:p w14:paraId="41A786A7">
            <w:pPr>
              <w:spacing w:after="0" w:line="240" w:lineRule="auto"/>
            </w:pPr>
            <w:r>
              <w:rPr>
                <w:rFonts w:ascii="Calibri" w:hAnsi="Calibri"/>
                <w:color w:val="000000"/>
                <w:sz w:val="18"/>
              </w:rPr>
              <w:t>Pending</w:t>
            </w:r>
          </w:p>
        </w:tc>
      </w:tr>
      <w:tr w14:paraId="2388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0669475">
            <w:pPr>
              <w:spacing w:after="0" w:line="240" w:lineRule="auto"/>
            </w:pPr>
            <w:r>
              <w:rPr>
                <w:rFonts w:ascii="Calibri" w:hAnsi="Calibri"/>
                <w:color w:val="000000"/>
                <w:sz w:val="18"/>
              </w:rPr>
              <w:t>Retest content-hash duplicate route</w:t>
            </w:r>
          </w:p>
        </w:tc>
        <w:tc>
          <w:tcPr>
            <w:tcW w:w="3120" w:type="dxa"/>
            <w:tcMar>
              <w:top w:w="80" w:type="dxa"/>
              <w:left w:w="120" w:type="dxa"/>
              <w:bottom w:w="80" w:type="dxa"/>
              <w:right w:w="120" w:type="dxa"/>
            </w:tcMar>
            <w:vAlign w:val="center"/>
          </w:tcPr>
          <w:p w14:paraId="68B625CF">
            <w:pPr>
              <w:spacing w:after="0" w:line="240" w:lineRule="auto"/>
            </w:pPr>
            <w:r>
              <w:rPr>
                <w:rFonts w:ascii="Calibri" w:hAnsi="Calibri"/>
                <w:color w:val="000000"/>
                <w:sz w:val="18"/>
              </w:rPr>
              <w:t>Prove different names with same content are rejected without loading.</w:t>
            </w:r>
          </w:p>
        </w:tc>
        <w:tc>
          <w:tcPr>
            <w:tcW w:w="3120" w:type="dxa"/>
            <w:shd w:val="clear" w:color="auto" w:fill="FFF2CC"/>
            <w:tcMar>
              <w:top w:w="80" w:type="dxa"/>
              <w:left w:w="120" w:type="dxa"/>
              <w:bottom w:w="80" w:type="dxa"/>
              <w:right w:w="120" w:type="dxa"/>
            </w:tcMar>
            <w:vAlign w:val="center"/>
          </w:tcPr>
          <w:p w14:paraId="76AD4D42">
            <w:pPr>
              <w:spacing w:after="0" w:line="240" w:lineRule="auto"/>
            </w:pPr>
            <w:r>
              <w:rPr>
                <w:rFonts w:ascii="Calibri" w:hAnsi="Calibri"/>
                <w:color w:val="000000"/>
                <w:sz w:val="18"/>
              </w:rPr>
              <w:t>Pending verification</w:t>
            </w:r>
          </w:p>
        </w:tc>
      </w:tr>
      <w:tr w14:paraId="0F48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1A91D3C">
            <w:pPr>
              <w:spacing w:after="0" w:line="240" w:lineRule="auto"/>
            </w:pPr>
            <w:r>
              <w:rPr>
                <w:rFonts w:ascii="Calibri" w:hAnsi="Calibri"/>
                <w:color w:val="000000"/>
                <w:sz w:val="18"/>
              </w:rPr>
              <w:t>Retest single-active-run guard</w:t>
            </w:r>
          </w:p>
        </w:tc>
        <w:tc>
          <w:tcPr>
            <w:tcW w:w="3120" w:type="dxa"/>
            <w:tcMar>
              <w:top w:w="80" w:type="dxa"/>
              <w:left w:w="120" w:type="dxa"/>
              <w:bottom w:w="80" w:type="dxa"/>
              <w:right w:w="120" w:type="dxa"/>
            </w:tcMar>
            <w:vAlign w:val="center"/>
          </w:tcPr>
          <w:p w14:paraId="0464E989">
            <w:pPr>
              <w:spacing w:after="0" w:line="240" w:lineRule="auto"/>
            </w:pPr>
            <w:r>
              <w:rPr>
                <w:rFonts w:ascii="Calibri" w:hAnsi="Calibri"/>
                <w:color w:val="000000"/>
                <w:sz w:val="18"/>
              </w:rPr>
              <w:t>Prove sensor does not launch two concurrent pipelines.</w:t>
            </w:r>
          </w:p>
        </w:tc>
        <w:tc>
          <w:tcPr>
            <w:tcW w:w="3120" w:type="dxa"/>
            <w:shd w:val="clear" w:color="auto" w:fill="FFF2CC"/>
            <w:tcMar>
              <w:top w:w="80" w:type="dxa"/>
              <w:left w:w="120" w:type="dxa"/>
              <w:bottom w:w="80" w:type="dxa"/>
              <w:right w:w="120" w:type="dxa"/>
            </w:tcMar>
            <w:vAlign w:val="center"/>
          </w:tcPr>
          <w:p w14:paraId="7FBE5A1B">
            <w:pPr>
              <w:spacing w:after="0" w:line="240" w:lineRule="auto"/>
            </w:pPr>
            <w:r>
              <w:rPr>
                <w:rFonts w:ascii="Calibri" w:hAnsi="Calibri"/>
                <w:color w:val="000000"/>
                <w:sz w:val="18"/>
              </w:rPr>
              <w:t>Pending verification</w:t>
            </w:r>
          </w:p>
        </w:tc>
      </w:tr>
      <w:tr w14:paraId="72B1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1932BEFB">
            <w:pPr>
              <w:spacing w:after="0" w:line="240" w:lineRule="auto"/>
            </w:pPr>
            <w:r>
              <w:rPr>
                <w:rFonts w:ascii="Calibri" w:hAnsi="Calibri"/>
                <w:color w:val="000000"/>
                <w:sz w:val="18"/>
              </w:rPr>
              <w:t>Run controlled clean rebuild</w:t>
            </w:r>
          </w:p>
        </w:tc>
        <w:tc>
          <w:tcPr>
            <w:tcW w:w="3120" w:type="dxa"/>
            <w:tcMar>
              <w:top w:w="80" w:type="dxa"/>
              <w:left w:w="120" w:type="dxa"/>
              <w:bottom w:w="80" w:type="dxa"/>
              <w:right w:w="120" w:type="dxa"/>
            </w:tcMar>
            <w:vAlign w:val="center"/>
          </w:tcPr>
          <w:p w14:paraId="40B2626D">
            <w:pPr>
              <w:spacing w:after="0" w:line="240" w:lineRule="auto"/>
            </w:pPr>
            <w:r>
              <w:rPr>
                <w:rFonts w:ascii="Calibri" w:hAnsi="Calibri"/>
                <w:color w:val="000000"/>
                <w:sz w:val="18"/>
              </w:rPr>
              <w:t>Replace historical pre-final tables with correct final schema/counts.</w:t>
            </w:r>
          </w:p>
        </w:tc>
        <w:tc>
          <w:tcPr>
            <w:tcW w:w="3120" w:type="dxa"/>
            <w:shd w:val="clear" w:color="auto" w:fill="FFF2CC"/>
            <w:tcMar>
              <w:top w:w="80" w:type="dxa"/>
              <w:left w:w="120" w:type="dxa"/>
              <w:bottom w:w="80" w:type="dxa"/>
              <w:right w:w="120" w:type="dxa"/>
            </w:tcMar>
            <w:vAlign w:val="center"/>
          </w:tcPr>
          <w:p w14:paraId="77077947">
            <w:pPr>
              <w:spacing w:after="0" w:line="240" w:lineRule="auto"/>
            </w:pPr>
            <w:r>
              <w:rPr>
                <w:rFonts w:ascii="Calibri" w:hAnsi="Calibri"/>
                <w:color w:val="000000"/>
                <w:sz w:val="18"/>
              </w:rPr>
              <w:t>Pending</w:t>
            </w:r>
          </w:p>
        </w:tc>
      </w:tr>
      <w:tr w14:paraId="77F7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632EDC83">
            <w:pPr>
              <w:spacing w:after="0" w:line="240" w:lineRule="auto"/>
            </w:pPr>
            <w:r>
              <w:rPr>
                <w:rFonts w:ascii="Calibri" w:hAnsi="Calibri"/>
                <w:color w:val="000000"/>
                <w:sz w:val="18"/>
              </w:rPr>
              <w:t>Confirm latest Streamlit deployment</w:t>
            </w:r>
          </w:p>
        </w:tc>
        <w:tc>
          <w:tcPr>
            <w:tcW w:w="3120" w:type="dxa"/>
            <w:tcMar>
              <w:top w:w="80" w:type="dxa"/>
              <w:left w:w="120" w:type="dxa"/>
              <w:bottom w:w="80" w:type="dxa"/>
              <w:right w:w="120" w:type="dxa"/>
            </w:tcMar>
            <w:vAlign w:val="center"/>
          </w:tcPr>
          <w:p w14:paraId="52E7444F">
            <w:pPr>
              <w:spacing w:after="0" w:line="240" w:lineRule="auto"/>
            </w:pPr>
            <w:r>
              <w:rPr>
                <w:rFonts w:ascii="Calibri" w:hAnsi="Calibri"/>
                <w:color w:val="000000"/>
                <w:sz w:val="18"/>
              </w:rPr>
              <w:t>Paste/update final app code after Gold procedure executes, then test every tab.</w:t>
            </w:r>
          </w:p>
        </w:tc>
        <w:tc>
          <w:tcPr>
            <w:tcW w:w="3120" w:type="dxa"/>
            <w:shd w:val="clear" w:color="auto" w:fill="FFF2CC"/>
            <w:tcMar>
              <w:top w:w="80" w:type="dxa"/>
              <w:left w:w="120" w:type="dxa"/>
              <w:bottom w:w="80" w:type="dxa"/>
              <w:right w:w="120" w:type="dxa"/>
            </w:tcMar>
            <w:vAlign w:val="center"/>
          </w:tcPr>
          <w:p w14:paraId="0BC01DFD">
            <w:pPr>
              <w:spacing w:after="0" w:line="240" w:lineRule="auto"/>
            </w:pPr>
            <w:r>
              <w:rPr>
                <w:rFonts w:ascii="Calibri" w:hAnsi="Calibri"/>
                <w:color w:val="000000"/>
                <w:sz w:val="18"/>
              </w:rPr>
              <w:t>Pending verification</w:t>
            </w:r>
          </w:p>
        </w:tc>
      </w:tr>
      <w:tr w14:paraId="3EDC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517C62FC">
            <w:pPr>
              <w:spacing w:after="0" w:line="240" w:lineRule="auto"/>
            </w:pPr>
            <w:r>
              <w:rPr>
                <w:rFonts w:ascii="Calibri" w:hAnsi="Calibri"/>
                <w:color w:val="000000"/>
                <w:sz w:val="18"/>
              </w:rPr>
              <w:t>Documentation package</w:t>
            </w:r>
          </w:p>
        </w:tc>
        <w:tc>
          <w:tcPr>
            <w:tcW w:w="3120" w:type="dxa"/>
            <w:tcMar>
              <w:top w:w="80" w:type="dxa"/>
              <w:left w:w="120" w:type="dxa"/>
              <w:bottom w:w="80" w:type="dxa"/>
              <w:right w:w="120" w:type="dxa"/>
            </w:tcMar>
            <w:vAlign w:val="center"/>
          </w:tcPr>
          <w:p w14:paraId="1F3C4D4E">
            <w:pPr>
              <w:spacing w:after="0" w:line="240" w:lineRule="auto"/>
            </w:pPr>
            <w:r>
              <w:rPr>
                <w:rFonts w:ascii="Calibri" w:hAnsi="Calibri"/>
                <w:color w:val="000000"/>
                <w:sz w:val="18"/>
              </w:rPr>
              <w:t>Add current notebooks, SQL, Dagster source, validation screenshots and this change log to Git/Notion.</w:t>
            </w:r>
          </w:p>
        </w:tc>
        <w:tc>
          <w:tcPr>
            <w:tcW w:w="3120" w:type="dxa"/>
            <w:tcMar>
              <w:top w:w="80" w:type="dxa"/>
              <w:left w:w="120" w:type="dxa"/>
              <w:bottom w:w="80" w:type="dxa"/>
              <w:right w:w="120" w:type="dxa"/>
            </w:tcMar>
            <w:vAlign w:val="center"/>
          </w:tcPr>
          <w:p w14:paraId="39A108A4">
            <w:pPr>
              <w:spacing w:after="0" w:line="240" w:lineRule="auto"/>
            </w:pPr>
            <w:r>
              <w:rPr>
                <w:rFonts w:ascii="Calibri" w:hAnsi="Calibri"/>
                <w:color w:val="000000"/>
                <w:sz w:val="18"/>
              </w:rPr>
              <w:t>In progress</w:t>
            </w:r>
          </w:p>
        </w:tc>
      </w:tr>
    </w:tbl>
    <w:p w14:paraId="0A9F19F1">
      <w:pPr>
        <w:spacing w:after="60"/>
      </w:pPr>
    </w:p>
    <w:p w14:paraId="2EDFE32A">
      <w:pPr>
        <w:pStyle w:val="2"/>
      </w:pPr>
      <w:r>
        <w:rPr>
          <w:rFonts w:ascii="Calibri" w:hAnsi="Calibri"/>
          <w:b/>
          <w:color w:val="2E74B5"/>
          <w:sz w:val="32"/>
        </w:rPr>
        <w:t>Appendix A. Key terminology for the final review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B68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shd w:val="clear" w:color="auto" w:fill="E8EEF5"/>
            <w:tcMar>
              <w:top w:w="80" w:type="dxa"/>
              <w:left w:w="120" w:type="dxa"/>
              <w:bottom w:w="80" w:type="dxa"/>
              <w:right w:w="120" w:type="dxa"/>
            </w:tcMar>
            <w:vAlign w:val="center"/>
          </w:tcPr>
          <w:p w14:paraId="4B1D2026">
            <w:pPr>
              <w:spacing w:after="0" w:line="240" w:lineRule="auto"/>
            </w:pPr>
            <w:r>
              <w:rPr>
                <w:rFonts w:ascii="Calibri" w:hAnsi="Calibri"/>
                <w:b/>
                <w:color w:val="0B2545"/>
                <w:sz w:val="19"/>
              </w:rPr>
              <w:t>Term</w:t>
            </w:r>
          </w:p>
        </w:tc>
        <w:tc>
          <w:tcPr>
            <w:tcW w:w="6984" w:type="dxa"/>
            <w:shd w:val="clear" w:color="auto" w:fill="E8EEF5"/>
            <w:tcMar>
              <w:top w:w="80" w:type="dxa"/>
              <w:left w:w="120" w:type="dxa"/>
              <w:bottom w:w="80" w:type="dxa"/>
              <w:right w:w="120" w:type="dxa"/>
            </w:tcMar>
            <w:vAlign w:val="center"/>
          </w:tcPr>
          <w:p w14:paraId="5F0D778B">
            <w:pPr>
              <w:spacing w:after="0" w:line="240" w:lineRule="auto"/>
            </w:pPr>
            <w:r>
              <w:rPr>
                <w:rFonts w:ascii="Calibri" w:hAnsi="Calibri"/>
                <w:b/>
                <w:color w:val="0B2545"/>
                <w:sz w:val="19"/>
              </w:rPr>
              <w:t>Meaning in this project</w:t>
            </w:r>
          </w:p>
        </w:tc>
      </w:tr>
      <w:tr w14:paraId="6C3F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6C2451A">
            <w:pPr>
              <w:spacing w:after="0" w:line="240" w:lineRule="auto"/>
            </w:pPr>
            <w:r>
              <w:rPr>
                <w:rFonts w:ascii="Calibri" w:hAnsi="Calibri"/>
                <w:color w:val="000000"/>
                <w:sz w:val="18"/>
              </w:rPr>
              <w:t>Historical fraud label</w:t>
            </w:r>
          </w:p>
        </w:tc>
        <w:tc>
          <w:tcPr>
            <w:tcW w:w="4680" w:type="dxa"/>
            <w:tcMar>
              <w:top w:w="80" w:type="dxa"/>
              <w:left w:w="120" w:type="dxa"/>
              <w:bottom w:w="80" w:type="dxa"/>
              <w:right w:w="120" w:type="dxa"/>
            </w:tcMar>
            <w:vAlign w:val="center"/>
          </w:tcPr>
          <w:p w14:paraId="0511CE02">
            <w:pPr>
              <w:spacing w:after="0" w:line="240" w:lineRule="auto"/>
            </w:pPr>
            <w:r>
              <w:rPr>
                <w:rFonts w:ascii="Calibri" w:hAnsi="Calibri"/>
                <w:color w:val="000000"/>
                <w:sz w:val="18"/>
              </w:rPr>
              <w:t>The original Class field mapped to Fraud/Legitimate. It validates historic outcomes but is not used to create review priority.</w:t>
            </w:r>
          </w:p>
        </w:tc>
      </w:tr>
      <w:tr w14:paraId="5D3F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B5FA70A">
            <w:pPr>
              <w:spacing w:after="0" w:line="240" w:lineRule="auto"/>
            </w:pPr>
            <w:r>
              <w:rPr>
                <w:rFonts w:ascii="Calibri" w:hAnsi="Calibri"/>
                <w:color w:val="000000"/>
                <w:sz w:val="18"/>
              </w:rPr>
              <w:t>Review priority</w:t>
            </w:r>
          </w:p>
        </w:tc>
        <w:tc>
          <w:tcPr>
            <w:tcW w:w="4680" w:type="dxa"/>
            <w:tcMar>
              <w:top w:w="80" w:type="dxa"/>
              <w:left w:w="120" w:type="dxa"/>
              <w:bottom w:w="80" w:type="dxa"/>
              <w:right w:w="120" w:type="dxa"/>
            </w:tcMar>
            <w:vAlign w:val="center"/>
          </w:tcPr>
          <w:p w14:paraId="2DF32961">
            <w:pPr>
              <w:spacing w:after="0" w:line="240" w:lineRule="auto"/>
            </w:pPr>
            <w:r>
              <w:rPr>
                <w:rFonts w:ascii="Calibri" w:hAnsi="Calibri"/>
                <w:color w:val="000000"/>
                <w:sz w:val="18"/>
              </w:rPr>
              <w:t>High, Medium or Low operational order for analyst attention based on transparent behavioral/context features.</w:t>
            </w:r>
          </w:p>
        </w:tc>
      </w:tr>
      <w:tr w14:paraId="4D1D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6D8432AD">
            <w:pPr>
              <w:spacing w:after="0" w:line="240" w:lineRule="auto"/>
            </w:pPr>
            <w:r>
              <w:rPr>
                <w:rFonts w:ascii="Calibri" w:hAnsi="Calibri"/>
                <w:color w:val="000000"/>
                <w:sz w:val="18"/>
              </w:rPr>
              <w:t>Content hash</w:t>
            </w:r>
          </w:p>
        </w:tc>
        <w:tc>
          <w:tcPr>
            <w:tcW w:w="4680" w:type="dxa"/>
            <w:tcMar>
              <w:top w:w="80" w:type="dxa"/>
              <w:left w:w="120" w:type="dxa"/>
              <w:bottom w:w="80" w:type="dxa"/>
              <w:right w:w="120" w:type="dxa"/>
            </w:tcMar>
            <w:vAlign w:val="center"/>
          </w:tcPr>
          <w:p w14:paraId="4E7523A7">
            <w:pPr>
              <w:spacing w:after="0" w:line="240" w:lineRule="auto"/>
            </w:pPr>
            <w:r>
              <w:rPr>
                <w:rFonts w:ascii="Calibri" w:hAnsi="Calibri"/>
                <w:color w:val="000000"/>
                <w:sz w:val="18"/>
              </w:rPr>
              <w:t>SHA-256 fingerprint of a file’s bytes. Same content has the same hash even when the file name changes.</w:t>
            </w:r>
          </w:p>
        </w:tc>
      </w:tr>
      <w:tr w14:paraId="3ED3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0404BCE3">
            <w:pPr>
              <w:spacing w:after="0" w:line="240" w:lineRule="auto"/>
            </w:pPr>
            <w:r>
              <w:rPr>
                <w:rFonts w:ascii="Calibri" w:hAnsi="Calibri"/>
                <w:color w:val="000000"/>
                <w:sz w:val="18"/>
              </w:rPr>
              <w:t>Bronze</w:t>
            </w:r>
          </w:p>
        </w:tc>
        <w:tc>
          <w:tcPr>
            <w:tcW w:w="4680" w:type="dxa"/>
            <w:tcMar>
              <w:top w:w="80" w:type="dxa"/>
              <w:left w:w="120" w:type="dxa"/>
              <w:bottom w:w="80" w:type="dxa"/>
              <w:right w:w="120" w:type="dxa"/>
            </w:tcMar>
            <w:vAlign w:val="center"/>
          </w:tcPr>
          <w:p w14:paraId="0006ED2B">
            <w:pPr>
              <w:spacing w:after="0" w:line="240" w:lineRule="auto"/>
            </w:pPr>
            <w:r>
              <w:rPr>
                <w:rFonts w:ascii="Calibri" w:hAnsi="Calibri"/>
                <w:color w:val="000000"/>
                <w:sz w:val="18"/>
              </w:rPr>
              <w:t>Raw auditable copy of source data plus lineage metadata.</w:t>
            </w:r>
          </w:p>
        </w:tc>
      </w:tr>
      <w:tr w14:paraId="2E17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6E268050">
            <w:pPr>
              <w:spacing w:after="0" w:line="240" w:lineRule="auto"/>
            </w:pPr>
            <w:r>
              <w:rPr>
                <w:rFonts w:ascii="Calibri" w:hAnsi="Calibri"/>
                <w:color w:val="000000"/>
                <w:sz w:val="18"/>
              </w:rPr>
              <w:t>Silver</w:t>
            </w:r>
          </w:p>
        </w:tc>
        <w:tc>
          <w:tcPr>
            <w:tcW w:w="4680" w:type="dxa"/>
            <w:tcMar>
              <w:top w:w="80" w:type="dxa"/>
              <w:left w:w="120" w:type="dxa"/>
              <w:bottom w:w="80" w:type="dxa"/>
              <w:right w:w="120" w:type="dxa"/>
            </w:tcMar>
            <w:vAlign w:val="center"/>
          </w:tcPr>
          <w:p w14:paraId="186B96DB">
            <w:pPr>
              <w:spacing w:after="0" w:line="240" w:lineRule="auto"/>
            </w:pPr>
            <w:r>
              <w:rPr>
                <w:rFonts w:ascii="Calibri" w:hAnsi="Calibri"/>
                <w:color w:val="000000"/>
                <w:sz w:val="18"/>
              </w:rPr>
              <w:t>Validated and standardized transaction layer with exact duplicates removed.</w:t>
            </w:r>
          </w:p>
        </w:tc>
      </w:tr>
      <w:tr w14:paraId="3EC7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94C91FC">
            <w:pPr>
              <w:spacing w:after="0" w:line="240" w:lineRule="auto"/>
            </w:pPr>
            <w:r>
              <w:rPr>
                <w:rFonts w:ascii="Calibri" w:hAnsi="Calibri"/>
                <w:color w:val="000000"/>
                <w:sz w:val="18"/>
              </w:rPr>
              <w:t>Gold</w:t>
            </w:r>
          </w:p>
        </w:tc>
        <w:tc>
          <w:tcPr>
            <w:tcW w:w="4680" w:type="dxa"/>
            <w:tcMar>
              <w:top w:w="80" w:type="dxa"/>
              <w:left w:w="120" w:type="dxa"/>
              <w:bottom w:w="80" w:type="dxa"/>
              <w:right w:w="120" w:type="dxa"/>
            </w:tcMar>
            <w:vAlign w:val="center"/>
          </w:tcPr>
          <w:p w14:paraId="3BA91104">
            <w:pPr>
              <w:spacing w:after="0" w:line="240" w:lineRule="auto"/>
            </w:pPr>
            <w:r>
              <w:rPr>
                <w:rFonts w:ascii="Calibri" w:hAnsi="Calibri"/>
                <w:color w:val="000000"/>
                <w:sz w:val="18"/>
              </w:rPr>
              <w:t>Snowflake analytics tables and live queue designed for BI/dashboard consumption.</w:t>
            </w:r>
          </w:p>
        </w:tc>
      </w:tr>
      <w:tr w14:paraId="0C9B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4B3A0B68">
            <w:pPr>
              <w:spacing w:after="0" w:line="240" w:lineRule="auto"/>
            </w:pPr>
            <w:r>
              <w:rPr>
                <w:rFonts w:ascii="Calibri" w:hAnsi="Calibri"/>
                <w:color w:val="000000"/>
                <w:sz w:val="18"/>
              </w:rPr>
              <w:t>Idempotent load</w:t>
            </w:r>
          </w:p>
        </w:tc>
        <w:tc>
          <w:tcPr>
            <w:tcW w:w="4680" w:type="dxa"/>
            <w:tcMar>
              <w:top w:w="80" w:type="dxa"/>
              <w:left w:w="120" w:type="dxa"/>
              <w:bottom w:w="80" w:type="dxa"/>
              <w:right w:w="120" w:type="dxa"/>
            </w:tcMar>
            <w:vAlign w:val="center"/>
          </w:tcPr>
          <w:p w14:paraId="5F3A635B">
            <w:pPr>
              <w:spacing w:after="0" w:line="240" w:lineRule="auto"/>
            </w:pPr>
            <w:r>
              <w:rPr>
                <w:rFonts w:ascii="Calibri" w:hAnsi="Calibri"/>
                <w:color w:val="000000"/>
                <w:sz w:val="18"/>
              </w:rPr>
              <w:t>A repeated run safely avoids inserting the same logical batch again.</w:t>
            </w:r>
          </w:p>
        </w:tc>
      </w:tr>
    </w:tbl>
    <w:p w14:paraId="512B644A">
      <w:pPr>
        <w:spacing w:after="60"/>
      </w:pPr>
    </w:p>
    <w:p w14:paraId="3B0A81C2">
      <w:pPr>
        <w:pStyle w:val="2"/>
      </w:pPr>
      <w:r>
        <w:rPr>
          <w:rFonts w:ascii="Calibri" w:hAnsi="Calibri"/>
          <w:b/>
          <w:color w:val="2E74B5"/>
          <w:sz w:val="32"/>
        </w:rPr>
        <w:t>Appendix B. Final object reference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8FC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68" w:type="dxa"/>
            <w:shd w:val="clear" w:color="auto" w:fill="E8EEF5"/>
            <w:tcMar>
              <w:top w:w="80" w:type="dxa"/>
              <w:left w:w="120" w:type="dxa"/>
              <w:bottom w:w="80" w:type="dxa"/>
              <w:right w:w="120" w:type="dxa"/>
            </w:tcMar>
            <w:vAlign w:val="center"/>
          </w:tcPr>
          <w:p w14:paraId="33EA5938">
            <w:pPr>
              <w:spacing w:after="0" w:line="240" w:lineRule="auto"/>
            </w:pPr>
            <w:r>
              <w:rPr>
                <w:rFonts w:ascii="Calibri" w:hAnsi="Calibri"/>
                <w:b/>
                <w:color w:val="0B2545"/>
                <w:sz w:val="19"/>
              </w:rPr>
              <w:t>Platform</w:t>
            </w:r>
          </w:p>
        </w:tc>
        <w:tc>
          <w:tcPr>
            <w:tcW w:w="6192" w:type="dxa"/>
            <w:shd w:val="clear" w:color="auto" w:fill="E8EEF5"/>
            <w:tcMar>
              <w:top w:w="80" w:type="dxa"/>
              <w:left w:w="120" w:type="dxa"/>
              <w:bottom w:w="80" w:type="dxa"/>
              <w:right w:w="120" w:type="dxa"/>
            </w:tcMar>
            <w:vAlign w:val="center"/>
          </w:tcPr>
          <w:p w14:paraId="56DFDC84">
            <w:pPr>
              <w:spacing w:after="0" w:line="240" w:lineRule="auto"/>
            </w:pPr>
            <w:r>
              <w:rPr>
                <w:rFonts w:ascii="Calibri" w:hAnsi="Calibri"/>
                <w:b/>
                <w:color w:val="0B2545"/>
                <w:sz w:val="19"/>
              </w:rPr>
              <w:t>Object</w:t>
            </w:r>
          </w:p>
        </w:tc>
      </w:tr>
      <w:tr w14:paraId="7518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0DAD4056">
            <w:pPr>
              <w:spacing w:after="0" w:line="240" w:lineRule="auto"/>
            </w:pPr>
            <w:r>
              <w:rPr>
                <w:rFonts w:ascii="Calibri" w:hAnsi="Calibri"/>
                <w:color w:val="000000"/>
                <w:sz w:val="18"/>
              </w:rPr>
              <w:t>Databricks Bronze</w:t>
            </w:r>
          </w:p>
        </w:tc>
        <w:tc>
          <w:tcPr>
            <w:tcW w:w="4680" w:type="dxa"/>
            <w:tcMar>
              <w:top w:w="80" w:type="dxa"/>
              <w:left w:w="120" w:type="dxa"/>
              <w:bottom w:w="80" w:type="dxa"/>
              <w:right w:w="120" w:type="dxa"/>
            </w:tcMar>
            <w:vAlign w:val="center"/>
          </w:tcPr>
          <w:p w14:paraId="3EA271A6">
            <w:pPr>
              <w:spacing w:after="0" w:line="240" w:lineRule="auto"/>
            </w:pPr>
            <w:r>
              <w:rPr>
                <w:rFonts w:ascii="Calibri" w:hAnsi="Calibri"/>
                <w:color w:val="000000"/>
                <w:sz w:val="18"/>
              </w:rPr>
              <w:t>workspace.bronze.transactions_raw</w:t>
            </w:r>
          </w:p>
        </w:tc>
      </w:tr>
      <w:tr w14:paraId="43E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1C0D1996">
            <w:pPr>
              <w:spacing w:after="0" w:line="240" w:lineRule="auto"/>
            </w:pPr>
            <w:r>
              <w:rPr>
                <w:rFonts w:ascii="Calibri" w:hAnsi="Calibri"/>
                <w:color w:val="000000"/>
                <w:sz w:val="18"/>
              </w:rPr>
              <w:t>Databricks Bronze audit</w:t>
            </w:r>
          </w:p>
        </w:tc>
        <w:tc>
          <w:tcPr>
            <w:tcW w:w="4680" w:type="dxa"/>
            <w:tcMar>
              <w:top w:w="80" w:type="dxa"/>
              <w:left w:w="120" w:type="dxa"/>
              <w:bottom w:w="80" w:type="dxa"/>
              <w:right w:w="120" w:type="dxa"/>
            </w:tcMar>
            <w:vAlign w:val="center"/>
          </w:tcPr>
          <w:p w14:paraId="71CE61DA">
            <w:pPr>
              <w:spacing w:after="0" w:line="240" w:lineRule="auto"/>
            </w:pPr>
            <w:r>
              <w:rPr>
                <w:rFonts w:ascii="Calibri" w:hAnsi="Calibri"/>
                <w:color w:val="000000"/>
                <w:sz w:val="18"/>
              </w:rPr>
              <w:t>workspace.ops.processed_files</w:t>
            </w:r>
          </w:p>
        </w:tc>
      </w:tr>
      <w:tr w14:paraId="786C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248CE08B">
            <w:pPr>
              <w:spacing w:after="0" w:line="240" w:lineRule="auto"/>
            </w:pPr>
            <w:r>
              <w:rPr>
                <w:rFonts w:ascii="Calibri" w:hAnsi="Calibri"/>
                <w:color w:val="000000"/>
                <w:sz w:val="18"/>
              </w:rPr>
              <w:t>Databricks Silver</w:t>
            </w:r>
          </w:p>
        </w:tc>
        <w:tc>
          <w:tcPr>
            <w:tcW w:w="4680" w:type="dxa"/>
            <w:tcMar>
              <w:top w:w="80" w:type="dxa"/>
              <w:left w:w="120" w:type="dxa"/>
              <w:bottom w:w="80" w:type="dxa"/>
              <w:right w:w="120" w:type="dxa"/>
            </w:tcMar>
            <w:vAlign w:val="center"/>
          </w:tcPr>
          <w:p w14:paraId="48989AC0">
            <w:pPr>
              <w:spacing w:after="0" w:line="240" w:lineRule="auto"/>
            </w:pPr>
            <w:r>
              <w:rPr>
                <w:rFonts w:ascii="Calibri" w:hAnsi="Calibri"/>
                <w:color w:val="000000"/>
                <w:sz w:val="18"/>
              </w:rPr>
              <w:t>workspace.silver.transactions_silver_incremental</w:t>
            </w:r>
          </w:p>
        </w:tc>
      </w:tr>
      <w:tr w14:paraId="1619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B9F3D03">
            <w:pPr>
              <w:spacing w:after="0" w:line="240" w:lineRule="auto"/>
            </w:pPr>
            <w:r>
              <w:rPr>
                <w:rFonts w:ascii="Calibri" w:hAnsi="Calibri"/>
                <w:color w:val="000000"/>
                <w:sz w:val="18"/>
              </w:rPr>
              <w:t>Databricks Silver audit</w:t>
            </w:r>
          </w:p>
        </w:tc>
        <w:tc>
          <w:tcPr>
            <w:tcW w:w="4680" w:type="dxa"/>
            <w:tcMar>
              <w:top w:w="80" w:type="dxa"/>
              <w:left w:w="120" w:type="dxa"/>
              <w:bottom w:w="80" w:type="dxa"/>
              <w:right w:w="120" w:type="dxa"/>
            </w:tcMar>
            <w:vAlign w:val="center"/>
          </w:tcPr>
          <w:p w14:paraId="38774C15">
            <w:pPr>
              <w:spacing w:after="0" w:line="240" w:lineRule="auto"/>
            </w:pPr>
            <w:r>
              <w:rPr>
                <w:rFonts w:ascii="Calibri" w:hAnsi="Calibri"/>
                <w:color w:val="000000"/>
                <w:sz w:val="18"/>
              </w:rPr>
              <w:t>workspace.ops.silver_processed_batches</w:t>
            </w:r>
          </w:p>
        </w:tc>
      </w:tr>
      <w:tr w14:paraId="1C07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4E56DDD">
            <w:pPr>
              <w:spacing w:after="0" w:line="240" w:lineRule="auto"/>
            </w:pPr>
            <w:r>
              <w:rPr>
                <w:rFonts w:ascii="Calibri" w:hAnsi="Calibri"/>
                <w:color w:val="000000"/>
                <w:sz w:val="18"/>
              </w:rPr>
              <w:t>Snowflake RAW</w:t>
            </w:r>
          </w:p>
        </w:tc>
        <w:tc>
          <w:tcPr>
            <w:tcW w:w="4680" w:type="dxa"/>
            <w:tcMar>
              <w:top w:w="80" w:type="dxa"/>
              <w:left w:w="120" w:type="dxa"/>
              <w:bottom w:w="80" w:type="dxa"/>
              <w:right w:w="120" w:type="dxa"/>
            </w:tcMar>
            <w:vAlign w:val="center"/>
          </w:tcPr>
          <w:p w14:paraId="440B2E6C">
            <w:pPr>
              <w:spacing w:after="0" w:line="240" w:lineRule="auto"/>
            </w:pPr>
            <w:r>
              <w:rPr>
                <w:rFonts w:ascii="Calibri" w:hAnsi="Calibri"/>
                <w:color w:val="000000"/>
                <w:sz w:val="18"/>
              </w:rPr>
              <w:t>FRAUD_DB.RAW.TRANSACTIONS</w:t>
            </w:r>
          </w:p>
        </w:tc>
      </w:tr>
      <w:tr w14:paraId="19E1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6945865E">
            <w:pPr>
              <w:spacing w:after="0" w:line="240" w:lineRule="auto"/>
            </w:pPr>
            <w:r>
              <w:rPr>
                <w:rFonts w:ascii="Calibri" w:hAnsi="Calibri"/>
                <w:color w:val="000000"/>
                <w:sz w:val="18"/>
              </w:rPr>
              <w:t>Snowflake Gold</w:t>
            </w:r>
          </w:p>
        </w:tc>
        <w:tc>
          <w:tcPr>
            <w:tcW w:w="4680" w:type="dxa"/>
            <w:tcMar>
              <w:top w:w="80" w:type="dxa"/>
              <w:left w:w="120" w:type="dxa"/>
              <w:bottom w:w="80" w:type="dxa"/>
              <w:right w:w="120" w:type="dxa"/>
            </w:tcMar>
            <w:vAlign w:val="center"/>
          </w:tcPr>
          <w:p w14:paraId="7CC18B52">
            <w:pPr>
              <w:spacing w:after="0" w:line="240" w:lineRule="auto"/>
            </w:pPr>
            <w:r>
              <w:rPr>
                <w:rFonts w:ascii="Calibri" w:hAnsi="Calibri"/>
                <w:color w:val="000000"/>
                <w:sz w:val="18"/>
              </w:rPr>
              <w:t>FRAUD_DB.ANALYTICS.FRAUD_DAILY_SUMMARY</w:t>
            </w:r>
          </w:p>
        </w:tc>
      </w:tr>
      <w:tr w14:paraId="77C5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3BFFBFCC">
            <w:pPr>
              <w:spacing w:after="0" w:line="240" w:lineRule="auto"/>
            </w:pPr>
            <w:r>
              <w:rPr>
                <w:rFonts w:ascii="Calibri" w:hAnsi="Calibri"/>
                <w:color w:val="000000"/>
                <w:sz w:val="18"/>
              </w:rPr>
              <w:t>Snowflake Gold</w:t>
            </w:r>
          </w:p>
        </w:tc>
        <w:tc>
          <w:tcPr>
            <w:tcW w:w="4680" w:type="dxa"/>
            <w:tcMar>
              <w:top w:w="80" w:type="dxa"/>
              <w:left w:w="120" w:type="dxa"/>
              <w:bottom w:w="80" w:type="dxa"/>
              <w:right w:w="120" w:type="dxa"/>
            </w:tcMar>
            <w:vAlign w:val="center"/>
          </w:tcPr>
          <w:p w14:paraId="4D20BD99">
            <w:pPr>
              <w:spacing w:after="0" w:line="240" w:lineRule="auto"/>
            </w:pPr>
            <w:r>
              <w:rPr>
                <w:rFonts w:ascii="Calibri" w:hAnsi="Calibri"/>
                <w:color w:val="000000"/>
                <w:sz w:val="18"/>
              </w:rPr>
              <w:t>FRAUD_DB.ANALYTICS.AMOUNT_BUCKET_SUMMARY</w:t>
            </w:r>
          </w:p>
        </w:tc>
      </w:tr>
      <w:tr w14:paraId="7C4C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2147426F">
            <w:pPr>
              <w:spacing w:after="0" w:line="240" w:lineRule="auto"/>
            </w:pPr>
            <w:r>
              <w:rPr>
                <w:rFonts w:ascii="Calibri" w:hAnsi="Calibri"/>
                <w:color w:val="000000"/>
                <w:sz w:val="18"/>
              </w:rPr>
              <w:t>Snowflake Gold</w:t>
            </w:r>
          </w:p>
        </w:tc>
        <w:tc>
          <w:tcPr>
            <w:tcW w:w="4680" w:type="dxa"/>
            <w:tcMar>
              <w:top w:w="80" w:type="dxa"/>
              <w:left w:w="120" w:type="dxa"/>
              <w:bottom w:w="80" w:type="dxa"/>
              <w:right w:w="120" w:type="dxa"/>
            </w:tcMar>
            <w:vAlign w:val="center"/>
          </w:tcPr>
          <w:p w14:paraId="48A5073D">
            <w:pPr>
              <w:spacing w:after="0" w:line="240" w:lineRule="auto"/>
            </w:pPr>
            <w:r>
              <w:rPr>
                <w:rFonts w:ascii="Calibri" w:hAnsi="Calibri"/>
                <w:color w:val="000000"/>
                <w:sz w:val="18"/>
              </w:rPr>
              <w:t>FRAUD_DB.ANALYTICS.RISK_TIME_DASHBOARD</w:t>
            </w:r>
          </w:p>
        </w:tc>
      </w:tr>
      <w:tr w14:paraId="1624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7C2B352C">
            <w:pPr>
              <w:spacing w:after="0" w:line="240" w:lineRule="auto"/>
            </w:pPr>
            <w:r>
              <w:rPr>
                <w:rFonts w:ascii="Calibri" w:hAnsi="Calibri"/>
                <w:color w:val="000000"/>
                <w:sz w:val="18"/>
              </w:rPr>
              <w:t>Snowflake Gold</w:t>
            </w:r>
          </w:p>
        </w:tc>
        <w:tc>
          <w:tcPr>
            <w:tcW w:w="4680" w:type="dxa"/>
            <w:tcMar>
              <w:top w:w="80" w:type="dxa"/>
              <w:left w:w="120" w:type="dxa"/>
              <w:bottom w:w="80" w:type="dxa"/>
              <w:right w:w="120" w:type="dxa"/>
            </w:tcMar>
            <w:vAlign w:val="center"/>
          </w:tcPr>
          <w:p w14:paraId="11CC10E9">
            <w:pPr>
              <w:spacing w:after="0" w:line="240" w:lineRule="auto"/>
            </w:pPr>
            <w:r>
              <w:rPr>
                <w:rFonts w:ascii="Calibri" w:hAnsi="Calibri"/>
                <w:color w:val="000000"/>
                <w:sz w:val="18"/>
              </w:rPr>
              <w:t>FRAUD_DB.ANALYTICS.ANALYST_REVIEW_QUEUE</w:t>
            </w:r>
          </w:p>
        </w:tc>
      </w:tr>
      <w:tr w14:paraId="776E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FFA6129">
            <w:pPr>
              <w:spacing w:after="0" w:line="240" w:lineRule="auto"/>
            </w:pPr>
            <w:r>
              <w:rPr>
                <w:rFonts w:ascii="Calibri" w:hAnsi="Calibri"/>
                <w:color w:val="000000"/>
                <w:sz w:val="18"/>
              </w:rPr>
              <w:t>Snowflake app</w:t>
            </w:r>
          </w:p>
        </w:tc>
        <w:tc>
          <w:tcPr>
            <w:tcW w:w="4680" w:type="dxa"/>
            <w:tcMar>
              <w:top w:w="80" w:type="dxa"/>
              <w:left w:w="120" w:type="dxa"/>
              <w:bottom w:w="80" w:type="dxa"/>
              <w:right w:w="120" w:type="dxa"/>
            </w:tcMar>
            <w:vAlign w:val="center"/>
          </w:tcPr>
          <w:p w14:paraId="0FD79744">
            <w:pPr>
              <w:spacing w:after="0" w:line="240" w:lineRule="auto"/>
            </w:pPr>
            <w:r>
              <w:rPr>
                <w:rFonts w:ascii="Calibri" w:hAnsi="Calibri"/>
                <w:color w:val="000000"/>
                <w:sz w:val="18"/>
              </w:rPr>
              <w:t>FRAUD_DB.ANALYTICS.FRAUD_RISK_DASHBOARD</w:t>
            </w:r>
          </w:p>
        </w:tc>
      </w:tr>
      <w:tr w14:paraId="20E8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80" w:type="dxa"/>
              <w:left w:w="120" w:type="dxa"/>
              <w:bottom w:w="80" w:type="dxa"/>
              <w:right w:w="120" w:type="dxa"/>
            </w:tcMar>
            <w:vAlign w:val="center"/>
          </w:tcPr>
          <w:p w14:paraId="5BDA88DD">
            <w:pPr>
              <w:spacing w:after="0" w:line="240" w:lineRule="auto"/>
            </w:pPr>
            <w:r>
              <w:rPr>
                <w:rFonts w:ascii="Calibri" w:hAnsi="Calibri"/>
                <w:color w:val="000000"/>
                <w:sz w:val="18"/>
              </w:rPr>
              <w:t>Orchestration</w:t>
            </w:r>
          </w:p>
        </w:tc>
        <w:tc>
          <w:tcPr>
            <w:tcW w:w="4680" w:type="dxa"/>
            <w:tcMar>
              <w:top w:w="80" w:type="dxa"/>
              <w:left w:w="120" w:type="dxa"/>
              <w:bottom w:w="80" w:type="dxa"/>
              <w:right w:w="120" w:type="dxa"/>
            </w:tcMar>
            <w:vAlign w:val="center"/>
          </w:tcPr>
          <w:p w14:paraId="471F31B0">
            <w:pPr>
              <w:spacing w:after="0" w:line="240" w:lineRule="auto"/>
            </w:pPr>
            <w:r>
              <w:rPr>
                <w:rFonts w:ascii="Calibri" w:hAnsi="Calibri"/>
                <w:color w:val="000000"/>
                <w:sz w:val="18"/>
              </w:rPr>
              <w:t>orchestration/dagster_creditfraud</w:t>
            </w:r>
          </w:p>
        </w:tc>
      </w:tr>
    </w:tbl>
    <w:p w14:paraId="2FB209AA">
      <w:pPr>
        <w:spacing w:after="6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12ECE">
    <w:pPr>
      <w:pStyle w:val="18"/>
      <w:jc w:val="center"/>
    </w:pPr>
    <w:r>
      <w:rPr>
        <w:rFonts w:ascii="Calibri" w:hAnsi="Calibri"/>
        <w:color w:val="666666"/>
        <w:sz w:val="17"/>
      </w:rPr>
      <w:t>Internal project documentation | Updated 9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78000">
    <w:pPr>
      <w:pStyle w:val="19"/>
      <w:jc w:val="right"/>
    </w:pPr>
    <w:r>
      <w:rPr>
        <w:rFonts w:ascii="Calibri" w:hAnsi="Calibri"/>
        <w:color w:val="666666"/>
        <w:sz w:val="17"/>
      </w:rPr>
      <w:t>Credit Card Fraud Detection | Pipeline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0850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Credit Card Fraud Detection Project Team</dc:creator>
  <dc:description>generated by python-docx</dc:description>
  <cp:lastModifiedBy>akhilsai.garikapati</cp:lastModifiedBy>
  <dcterms:modified xsi:type="dcterms:W3CDTF">2026-08-09T14:10:31Z</dcterms:modified>
  <dc:subject>Bronze, Silver, Gold, Snowflake and Dagster change record</dc:subject>
  <dc:title>Credit Card Fraud Detection - Pipeline Change Log and Final Design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14362CC9BF4B491D886769496AD0E1EA_12</vt:lpwstr>
  </property>
</Properties>
</file>