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20"/>
        </w:rPr>
        <w:t>PROJECT IMPLEMENTATION GUIDE</w:t>
      </w:r>
    </w:p>
    <w:p>
      <w:pPr>
        <w:spacing w:after="80"/>
      </w:pPr>
      <w:r>
        <w:rPr>
          <w:rFonts w:ascii="Calibri" w:hAnsi="Calibri"/>
          <w:b/>
          <w:i w:val="0"/>
          <w:color w:val="0B2545"/>
          <w:sz w:val="46"/>
        </w:rPr>
        <w:t>Credit Card Fraud Detection - Current Pipeline Activities</w:t>
      </w:r>
    </w:p>
    <w:p>
      <w:pPr>
        <w:spacing w:after="320"/>
      </w:pPr>
      <w:r>
        <w:rPr>
          <w:rFonts w:ascii="Calibri" w:hAnsi="Calibri"/>
          <w:b w:val="0"/>
          <w:i w:val="0"/>
          <w:color w:val="4B5563"/>
          <w:sz w:val="25"/>
        </w:rPr>
        <w:t>Bronze to Silver to Snowflake Gold: activities, rationale, orchestration readiness, and final-output value</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EEF5"/>
          </w:tcPr>
          <w:p>
            <w:pPr>
              <w:spacing w:after="0" w:line="259" w:lineRule="auto"/>
            </w:pPr>
            <w:r>
              <w:rPr>
                <w:rFonts w:ascii="Calibri" w:hAnsi="Calibri"/>
                <w:b/>
                <w:color w:val="1F4D78"/>
                <w:sz w:val="19"/>
              </w:rPr>
              <w:t>Purpose</w:t>
            </w:r>
          </w:p>
        </w:tc>
        <w:tc>
          <w:tcPr>
            <w:tcW w:type="dxa" w:w="7260"/>
            <w:tcMar>
              <w:top w:w="80" w:type="dxa"/>
              <w:start w:w="120" w:type="dxa"/>
              <w:bottom w:w="80" w:type="dxa"/>
              <w:end w:w="120" w:type="dxa"/>
            </w:tcMar>
            <w:vAlign w:val="center"/>
          </w:tcPr>
          <w:p>
            <w:pPr>
              <w:spacing w:after="0" w:line="259" w:lineRule="auto"/>
            </w:pPr>
            <w:r>
              <w:rPr>
                <w:rFonts w:ascii="Calibri" w:hAnsi="Calibri"/>
                <w:sz w:val="19"/>
              </w:rPr>
              <w:t>Explain the current end-to-end build, why each step is required, and how it supports the final assessment.</w:t>
            </w:r>
          </w:p>
        </w:tc>
      </w:tr>
      <w:tr>
        <w:tc>
          <w:tcPr>
            <w:tcW w:type="dxa" w:w="2100"/>
            <w:tcMar>
              <w:top w:w="80" w:type="dxa"/>
              <w:start w:w="120" w:type="dxa"/>
              <w:bottom w:w="80" w:type="dxa"/>
              <w:end w:w="120" w:type="dxa"/>
            </w:tcMar>
            <w:vAlign w:val="center"/>
            <w:shd w:fill="E8EEF5"/>
          </w:tcPr>
          <w:p>
            <w:pPr>
              <w:spacing w:after="0" w:line="259" w:lineRule="auto"/>
            </w:pPr>
            <w:r>
              <w:rPr>
                <w:rFonts w:ascii="Calibri" w:hAnsi="Calibri"/>
                <w:b/>
                <w:color w:val="1F4D78"/>
                <w:sz w:val="19"/>
              </w:rPr>
              <w:t>Core platforms</w:t>
            </w:r>
          </w:p>
        </w:tc>
        <w:tc>
          <w:tcPr>
            <w:tcW w:type="dxa" w:w="7260"/>
            <w:tcMar>
              <w:top w:w="80" w:type="dxa"/>
              <w:start w:w="120" w:type="dxa"/>
              <w:bottom w:w="80" w:type="dxa"/>
              <w:end w:w="120" w:type="dxa"/>
            </w:tcMar>
            <w:vAlign w:val="center"/>
          </w:tcPr>
          <w:p>
            <w:pPr>
              <w:spacing w:after="0" w:line="259" w:lineRule="auto"/>
            </w:pPr>
            <w:r>
              <w:rPr>
                <w:rFonts w:ascii="Calibri" w:hAnsi="Calibri"/>
                <w:sz w:val="19"/>
              </w:rPr>
              <w:t>AWS S3, Databricks, Snowflake, Dagster, and GitHub.</w:t>
            </w:r>
          </w:p>
        </w:tc>
      </w:tr>
      <w:tr>
        <w:tc>
          <w:tcPr>
            <w:tcW w:type="dxa" w:w="2100"/>
            <w:tcMar>
              <w:top w:w="80" w:type="dxa"/>
              <w:start w:w="120" w:type="dxa"/>
              <w:bottom w:w="80" w:type="dxa"/>
              <w:end w:w="120" w:type="dxa"/>
            </w:tcMar>
            <w:vAlign w:val="center"/>
            <w:shd w:fill="E8EEF5"/>
          </w:tcPr>
          <w:p>
            <w:pPr>
              <w:spacing w:after="0" w:line="259" w:lineRule="auto"/>
            </w:pPr>
            <w:r>
              <w:rPr>
                <w:rFonts w:ascii="Calibri" w:hAnsi="Calibri"/>
                <w:b/>
                <w:color w:val="1F4D78"/>
                <w:sz w:val="19"/>
              </w:rPr>
              <w:t>Current project scope</w:t>
            </w:r>
          </w:p>
        </w:tc>
        <w:tc>
          <w:tcPr>
            <w:tcW w:type="dxa" w:w="7260"/>
            <w:tcMar>
              <w:top w:w="80" w:type="dxa"/>
              <w:start w:w="120" w:type="dxa"/>
              <w:bottom w:w="80" w:type="dxa"/>
              <w:end w:w="120" w:type="dxa"/>
            </w:tcMar>
            <w:vAlign w:val="center"/>
          </w:tcPr>
          <w:p>
            <w:pPr>
              <w:spacing w:after="0" w:line="259" w:lineRule="auto"/>
            </w:pPr>
            <w:r>
              <w:rPr>
                <w:rFonts w:ascii="Calibri" w:hAnsi="Calibri"/>
                <w:sz w:val="19"/>
              </w:rPr>
              <w:t>Data engineering and analytics-ready fraud reporting; no fraud machine-learning model is being trained or deployed.</w:t>
            </w:r>
          </w:p>
        </w:tc>
      </w:tr>
    </w:tbl>
    <w:p>
      <w:pPr>
        <w:pStyle w:val="Heading1"/>
        <w:keepNext/>
        <w:spacing w:before="320" w:after="140"/>
      </w:pPr>
      <w:r>
        <w:rPr>
          <w:rFonts w:ascii="Calibri" w:hAnsi="Calibri"/>
          <w:b/>
          <w:i w:val="0"/>
          <w:color w:val="2E74B5"/>
          <w:sz w:val="32"/>
        </w:rPr>
        <w:t>1. What We Are Building</w:t>
      </w:r>
    </w:p>
    <w:p>
      <w:pPr>
        <w:spacing w:after="120" w:line="264" w:lineRule="auto"/>
      </w:pPr>
      <w:r>
        <w:rPr>
          <w:rFonts w:ascii="Calibri" w:hAnsi="Calibri"/>
          <w:b w:val="0"/>
          <w:i w:val="0"/>
          <w:color w:val="000000"/>
          <w:sz w:val="22"/>
        </w:rPr>
        <w:t>The project builds an end-to-end data engineering pipeline for the ULB credit-card fraud dataset. The source contains Time, V1-V28 anonymized PCA features, Amount, and Class. The aim is to create a governed, analytics-ready dataset and dashboard outputs for fraud-review reporting.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Scope boundary</w:t>
            </w:r>
          </w:p>
          <w:p>
            <w:pPr>
              <w:spacing w:after="0" w:line="259" w:lineRule="auto"/>
            </w:pPr>
            <w:r>
              <w:rPr>
                <w:rFonts w:ascii="Calibri" w:hAnsi="Calibri"/>
                <w:b w:val="0"/>
                <w:i w:val="0"/>
                <w:color w:val="0B2545"/>
                <w:sz w:val="20"/>
              </w:rPr>
              <w:t>We are not building, training, or deploying a machine-learning fraud model. Class is a historical fraud label used for validation and reporting. Any amount or time-based review indicator is transparent business logic, not a predictive fraud decision.</w:t>
            </w:r>
          </w:p>
        </w:tc>
      </w:tr>
    </w:tbl>
    <w:p>
      <w:pPr>
        <w:spacing w:after="20"/>
      </w:pPr>
    </w:p>
    <w:p>
      <w:pPr>
        <w:pStyle w:val="Heading1"/>
        <w:keepNext/>
        <w:spacing w:before="320" w:after="140"/>
      </w:pPr>
      <w:r>
        <w:rPr>
          <w:rFonts w:ascii="Calibri" w:hAnsi="Calibri"/>
          <w:b/>
          <w:i w:val="0"/>
          <w:color w:val="2E74B5"/>
          <w:sz w:val="32"/>
        </w:rPr>
        <w:t>2. Current End-to-End Flow</w:t>
      </w:r>
    </w:p>
    <w:tbl>
      <w:tblPr>
        <w:tblStyle w:val="TableGrid"/>
        <w:tblW w:type="dxa" w:w="9360"/>
        <w:jc w:val="left"/>
        <w:tblLayout w:type="fixed"/>
        <w:tblLook w:firstColumn="1" w:firstRow="1" w:lastColumn="0" w:lastRow="0" w:noHBand="0" w:noVBand="1" w:val="04A0"/>
        <w:tblInd w:w="120" w:type="dxa"/>
      </w:tblPr>
      <w:tblGrid>
        <w:gridCol w:w="1450"/>
        <w:gridCol w:w="4100"/>
        <w:gridCol w:w="3810"/>
      </w:tblGrid>
      <w:tr>
        <w:tc>
          <w:tcPr>
            <w:tcW w:type="dxa" w:w="1450"/>
            <w:tcMar>
              <w:top w:w="80" w:type="dxa"/>
              <w:start w:w="120" w:type="dxa"/>
              <w:bottom w:w="80" w:type="dxa"/>
              <w:end w:w="120" w:type="dxa"/>
            </w:tcMar>
            <w:vAlign w:val="center"/>
            <w:shd w:fill="F2F4F7"/>
          </w:tcPr>
          <w:p>
            <w:pPr>
              <w:spacing w:after="0" w:line="259" w:lineRule="auto"/>
            </w:pPr>
            <w:r>
              <w:rPr>
                <w:rFonts w:ascii="Calibri" w:hAnsi="Calibri"/>
                <w:b/>
                <w:color w:val="0B2545"/>
                <w:sz w:val="19"/>
              </w:rPr>
              <w:t>Step</w:t>
            </w:r>
          </w:p>
        </w:tc>
        <w:tc>
          <w:tcPr>
            <w:tcW w:type="dxa" w:w="4100"/>
            <w:tcMar>
              <w:top w:w="80" w:type="dxa"/>
              <w:start w:w="120" w:type="dxa"/>
              <w:bottom w:w="80" w:type="dxa"/>
              <w:end w:w="120" w:type="dxa"/>
            </w:tcMar>
            <w:vAlign w:val="center"/>
            <w:shd w:fill="F2F4F7"/>
          </w:tcPr>
          <w:p>
            <w:pPr>
              <w:spacing w:after="0" w:line="259" w:lineRule="auto"/>
            </w:pPr>
            <w:r>
              <w:rPr>
                <w:rFonts w:ascii="Calibri" w:hAnsi="Calibri"/>
                <w:b/>
                <w:color w:val="0B2545"/>
                <w:sz w:val="19"/>
              </w:rPr>
              <w:t>What happens</w:t>
            </w:r>
          </w:p>
        </w:tc>
        <w:tc>
          <w:tcPr>
            <w:tcW w:type="dxa" w:w="3810"/>
            <w:tcMar>
              <w:top w:w="80" w:type="dxa"/>
              <w:start w:w="120" w:type="dxa"/>
              <w:bottom w:w="80" w:type="dxa"/>
              <w:end w:w="120" w:type="dxa"/>
            </w:tcMar>
            <w:vAlign w:val="center"/>
            <w:shd w:fill="F2F4F7"/>
          </w:tcPr>
          <w:p>
            <w:pPr>
              <w:spacing w:after="0" w:line="259" w:lineRule="auto"/>
            </w:pPr>
            <w:r>
              <w:rPr>
                <w:rFonts w:ascii="Calibri" w:hAnsi="Calibri"/>
                <w:b/>
                <w:color w:val="0B2545"/>
                <w:sz w:val="19"/>
              </w:rPr>
              <w:t>Why it matters</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1. S3 landing</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creditcard.csv or a future batch file arrives in the landing prefix.</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Creates a controlled input point and preserves the original source file.</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2. Databricks Bronze</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Ingest the source file, standardize names/types, remove exact duplicate records, and add ingestion metadata.</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Creates a clean, auditable foundation for downstream processing.</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3. Databricks Silver</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Create row-level analytical and data-quality features for every cleaned transaction.</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Makes the anonymous ML dataset understandable and usable for reporting.</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4. Snowflake RAW</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Load the completed Silver dataset into a Snowflake staging/raw table.</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Separates lakehouse transformation from warehouse analytics and supports reconciliation.</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5. Snowflake Gold</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Aggregate and present business-ready reporting tables and views.</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Provides fast, explainable sources for dashboards and analyst review.</w:t>
            </w:r>
          </w:p>
        </w:tc>
      </w:tr>
      <w:tr>
        <w:tc>
          <w:tcPr>
            <w:tcW w:type="dxa" w:w="1450"/>
            <w:tcMar>
              <w:top w:w="80" w:type="dxa"/>
              <w:start w:w="120" w:type="dxa"/>
              <w:bottom w:w="80" w:type="dxa"/>
              <w:end w:w="120" w:type="dxa"/>
            </w:tcMar>
            <w:vAlign w:val="center"/>
          </w:tcPr>
          <w:p>
            <w:pPr>
              <w:spacing w:after="0" w:line="259" w:lineRule="auto"/>
            </w:pPr>
            <w:r>
              <w:rPr>
                <w:rFonts w:ascii="Calibri" w:hAnsi="Calibri"/>
                <w:sz w:val="19"/>
              </w:rPr>
              <w:t>6. Dagster orchestration</w:t>
            </w:r>
          </w:p>
        </w:tc>
        <w:tc>
          <w:tcPr>
            <w:tcW w:type="dxa" w:w="4100"/>
            <w:tcMar>
              <w:top w:w="80" w:type="dxa"/>
              <w:start w:w="120" w:type="dxa"/>
              <w:bottom w:w="80" w:type="dxa"/>
              <w:end w:w="120" w:type="dxa"/>
            </w:tcMar>
            <w:vAlign w:val="center"/>
          </w:tcPr>
          <w:p>
            <w:pPr>
              <w:spacing w:after="0" w:line="259" w:lineRule="auto"/>
            </w:pPr>
            <w:r>
              <w:rPr>
                <w:rFonts w:ascii="Calibri" w:hAnsi="Calibri"/>
                <w:sz w:val="19"/>
              </w:rPr>
              <w:t>Detect files, run tasks in dependency order, validate results, and report failures.</w:t>
            </w:r>
          </w:p>
        </w:tc>
        <w:tc>
          <w:tcPr>
            <w:tcW w:type="dxa" w:w="3810"/>
            <w:tcMar>
              <w:top w:w="80" w:type="dxa"/>
              <w:start w:w="120" w:type="dxa"/>
              <w:bottom w:w="80" w:type="dxa"/>
              <w:end w:w="120" w:type="dxa"/>
            </w:tcMar>
            <w:vAlign w:val="center"/>
          </w:tcPr>
          <w:p>
            <w:pPr>
              <w:spacing w:after="0" w:line="259" w:lineRule="auto"/>
            </w:pPr>
            <w:r>
              <w:rPr>
                <w:rFonts w:ascii="Calibri" w:hAnsi="Calibri"/>
                <w:sz w:val="19"/>
              </w:rPr>
              <w:t>Removes manual hand-offs and gives the team a repeatable run history.</w:t>
            </w:r>
          </w:p>
        </w:tc>
      </w:tr>
    </w:tbl>
    <w:p>
      <w:pPr>
        <w:pStyle w:val="Heading1"/>
        <w:keepNext/>
        <w:spacing w:before="320" w:after="140"/>
      </w:pPr>
      <w:r>
        <w:rPr>
          <w:rFonts w:ascii="Calibri" w:hAnsi="Calibri"/>
          <w:b/>
          <w:i w:val="0"/>
          <w:color w:val="2E74B5"/>
          <w:sz w:val="32"/>
        </w:rPr>
        <w:t>3. Bronze Layer: Ingestion, Cleansing, and Audit</w:t>
      </w:r>
    </w:p>
    <w:p>
      <w:pPr>
        <w:spacing w:after="120" w:line="264" w:lineRule="auto"/>
      </w:pPr>
      <w:r>
        <w:rPr>
          <w:rFonts w:ascii="Calibri" w:hAnsi="Calibri"/>
          <w:b w:val="0"/>
          <w:i w:val="0"/>
          <w:color w:val="000000"/>
          <w:sz w:val="22"/>
        </w:rPr>
        <w:t>Bronze is the first managed table created from the file in AWS S3. It keeps the original business columns while adding technical context for lineage and operational control.</w:t>
      </w:r>
    </w:p>
    <w:tbl>
      <w:tblPr>
        <w:tblStyle w:val="TableGrid"/>
        <w:tblW w:type="dxa" w:w="9360"/>
        <w:jc w:val="left"/>
        <w:tblLayout w:type="fixed"/>
        <w:tblLook w:firstColumn="1" w:firstRow="1" w:lastColumn="0" w:lastRow="0" w:noHBand="0" w:noVBand="1" w:val="04A0"/>
        <w:tblInd w:w="120" w:type="dxa"/>
      </w:tblPr>
      <w:tblGrid>
        <w:gridCol w:w="1850"/>
        <w:gridCol w:w="3600"/>
        <w:gridCol w:w="3910"/>
      </w:tblGrid>
      <w:tr>
        <w:tc>
          <w:tcPr>
            <w:tcW w:type="dxa" w:w="1850"/>
            <w:tcMar>
              <w:top w:w="80" w:type="dxa"/>
              <w:start w:w="120" w:type="dxa"/>
              <w:bottom w:w="80" w:type="dxa"/>
              <w:end w:w="120" w:type="dxa"/>
            </w:tcMar>
            <w:vAlign w:val="center"/>
            <w:shd w:fill="F2F4F7"/>
          </w:tcPr>
          <w:p>
            <w:pPr>
              <w:spacing w:after="0" w:line="259" w:lineRule="auto"/>
            </w:pPr>
            <w:r>
              <w:rPr>
                <w:rFonts w:ascii="Calibri" w:hAnsi="Calibri"/>
                <w:b/>
                <w:color w:val="0B2545"/>
                <w:sz w:val="19"/>
              </w:rPr>
              <w:t>Activity</w:t>
            </w:r>
          </w:p>
        </w:tc>
        <w:tc>
          <w:tcPr>
            <w:tcW w:type="dxa" w:w="3600"/>
            <w:tcMar>
              <w:top w:w="80" w:type="dxa"/>
              <w:start w:w="120" w:type="dxa"/>
              <w:bottom w:w="80" w:type="dxa"/>
              <w:end w:w="120" w:type="dxa"/>
            </w:tcMar>
            <w:vAlign w:val="center"/>
            <w:shd w:fill="F2F4F7"/>
          </w:tcPr>
          <w:p>
            <w:pPr>
              <w:spacing w:after="0" w:line="259" w:lineRule="auto"/>
            </w:pPr>
            <w:r>
              <w:rPr>
                <w:rFonts w:ascii="Calibri" w:hAnsi="Calibri"/>
                <w:b/>
                <w:color w:val="0B2545"/>
                <w:sz w:val="19"/>
              </w:rPr>
              <w:t>How we perform it</w:t>
            </w:r>
          </w:p>
        </w:tc>
        <w:tc>
          <w:tcPr>
            <w:tcW w:type="dxa" w:w="3910"/>
            <w:tcMar>
              <w:top w:w="80" w:type="dxa"/>
              <w:start w:w="120" w:type="dxa"/>
              <w:bottom w:w="80" w:type="dxa"/>
              <w:end w:w="120" w:type="dxa"/>
            </w:tcMar>
            <w:vAlign w:val="center"/>
            <w:shd w:fill="F2F4F7"/>
          </w:tcPr>
          <w:p>
            <w:pPr>
              <w:spacing w:after="0" w:line="259" w:lineRule="auto"/>
            </w:pPr>
            <w:r>
              <w:rPr>
                <w:rFonts w:ascii="Calibri" w:hAnsi="Calibri"/>
                <w:b/>
                <w:color w:val="0B2545"/>
                <w:sz w:val="19"/>
              </w:rPr>
              <w:t>Reason / final value</w:t>
            </w:r>
          </w:p>
        </w:tc>
      </w:tr>
      <w:tr>
        <w:tc>
          <w:tcPr>
            <w:tcW w:type="dxa" w:w="1850"/>
            <w:tcMar>
              <w:top w:w="80" w:type="dxa"/>
              <w:start w:w="120" w:type="dxa"/>
              <w:bottom w:w="80" w:type="dxa"/>
              <w:end w:w="120" w:type="dxa"/>
            </w:tcMar>
            <w:vAlign w:val="center"/>
          </w:tcPr>
          <w:p>
            <w:pPr>
              <w:spacing w:after="0" w:line="259" w:lineRule="auto"/>
            </w:pPr>
            <w:r>
              <w:rPr>
                <w:rFonts w:ascii="Calibri" w:hAnsi="Calibri"/>
                <w:sz w:val="19"/>
              </w:rPr>
              <w:t>Read one S3 source file</w:t>
            </w:r>
          </w:p>
        </w:tc>
        <w:tc>
          <w:tcPr>
            <w:tcW w:type="dxa" w:w="3600"/>
            <w:tcMar>
              <w:top w:w="80" w:type="dxa"/>
              <w:start w:w="120" w:type="dxa"/>
              <w:bottom w:w="80" w:type="dxa"/>
              <w:end w:w="120" w:type="dxa"/>
            </w:tcMar>
            <w:vAlign w:val="center"/>
          </w:tcPr>
          <w:p>
            <w:pPr>
              <w:spacing w:after="0" w:line="259" w:lineRule="auto"/>
            </w:pPr>
            <w:r>
              <w:rPr>
                <w:rFonts w:ascii="Calibri" w:hAnsi="Calibri"/>
                <w:sz w:val="19"/>
              </w:rPr>
              <w:t>The run uses source_file_name and batch_id parameters.</w:t>
            </w:r>
          </w:p>
        </w:tc>
        <w:tc>
          <w:tcPr>
            <w:tcW w:type="dxa" w:w="3910"/>
            <w:tcMar>
              <w:top w:w="80" w:type="dxa"/>
              <w:start w:w="120" w:type="dxa"/>
              <w:bottom w:w="80" w:type="dxa"/>
              <w:end w:w="120" w:type="dxa"/>
            </w:tcMar>
            <w:vAlign w:val="center"/>
          </w:tcPr>
          <w:p>
            <w:pPr>
              <w:spacing w:after="0" w:line="259" w:lineRule="auto"/>
            </w:pPr>
            <w:r>
              <w:rPr>
                <w:rFonts w:ascii="Calibri" w:hAnsi="Calibri"/>
                <w:sz w:val="19"/>
              </w:rPr>
              <w:t>The same notebook can process future batches without code edits.</w:t>
            </w:r>
          </w:p>
        </w:tc>
      </w:tr>
      <w:tr>
        <w:tc>
          <w:tcPr>
            <w:tcW w:type="dxa" w:w="1850"/>
            <w:tcMar>
              <w:top w:w="80" w:type="dxa"/>
              <w:start w:w="120" w:type="dxa"/>
              <w:bottom w:w="80" w:type="dxa"/>
              <w:end w:w="120" w:type="dxa"/>
            </w:tcMar>
            <w:vAlign w:val="center"/>
          </w:tcPr>
          <w:p>
            <w:pPr>
              <w:spacing w:after="0" w:line="259" w:lineRule="auto"/>
            </w:pPr>
            <w:r>
              <w:rPr>
                <w:rFonts w:ascii="Calibri" w:hAnsi="Calibri"/>
                <w:sz w:val="19"/>
              </w:rPr>
              <w:t>Standardize column names and data types</w:t>
            </w:r>
          </w:p>
        </w:tc>
        <w:tc>
          <w:tcPr>
            <w:tcW w:type="dxa" w:w="3600"/>
            <w:tcMar>
              <w:top w:w="80" w:type="dxa"/>
              <w:start w:w="120" w:type="dxa"/>
              <w:bottom w:w="80" w:type="dxa"/>
              <w:end w:w="120" w:type="dxa"/>
            </w:tcMar>
            <w:vAlign w:val="center"/>
          </w:tcPr>
          <w:p>
            <w:pPr>
              <w:spacing w:after="0" w:line="259" w:lineRule="auto"/>
            </w:pPr>
            <w:r>
              <w:rPr>
                <w:rFonts w:ascii="Calibri" w:hAnsi="Calibri"/>
                <w:sz w:val="19"/>
              </w:rPr>
              <w:t>Time becomes an integer, Amount becomes decimal, Class becomes integer, and V1-V28 remain numeric.</w:t>
            </w:r>
          </w:p>
        </w:tc>
        <w:tc>
          <w:tcPr>
            <w:tcW w:type="dxa" w:w="3910"/>
            <w:tcMar>
              <w:top w:w="80" w:type="dxa"/>
              <w:start w:w="120" w:type="dxa"/>
              <w:bottom w:w="80" w:type="dxa"/>
              <w:end w:w="120" w:type="dxa"/>
            </w:tcMar>
            <w:vAlign w:val="center"/>
          </w:tcPr>
          <w:p>
            <w:pPr>
              <w:spacing w:after="0" w:line="259" w:lineRule="auto"/>
            </w:pPr>
            <w:r>
              <w:rPr>
                <w:rFonts w:ascii="Calibri" w:hAnsi="Calibri"/>
                <w:sz w:val="19"/>
              </w:rPr>
              <w:t>Produces stable schemas for SQL, Snowflake loading, and dashboards.</w:t>
            </w:r>
          </w:p>
        </w:tc>
      </w:tr>
      <w:tr>
        <w:tc>
          <w:tcPr>
            <w:tcW w:type="dxa" w:w="1850"/>
            <w:tcMar>
              <w:top w:w="80" w:type="dxa"/>
              <w:start w:w="120" w:type="dxa"/>
              <w:bottom w:w="80" w:type="dxa"/>
              <w:end w:w="120" w:type="dxa"/>
            </w:tcMar>
            <w:vAlign w:val="center"/>
          </w:tcPr>
          <w:p>
            <w:pPr>
              <w:spacing w:after="0" w:line="259" w:lineRule="auto"/>
            </w:pPr>
            <w:r>
              <w:rPr>
                <w:rFonts w:ascii="Calibri" w:hAnsi="Calibri"/>
                <w:sz w:val="19"/>
              </w:rPr>
              <w:t>Remove exact duplicates</w:t>
            </w:r>
          </w:p>
        </w:tc>
        <w:tc>
          <w:tcPr>
            <w:tcW w:type="dxa" w:w="3600"/>
            <w:tcMar>
              <w:top w:w="80" w:type="dxa"/>
              <w:start w:w="120" w:type="dxa"/>
              <w:bottom w:w="80" w:type="dxa"/>
              <w:end w:w="120" w:type="dxa"/>
            </w:tcMar>
            <w:vAlign w:val="center"/>
          </w:tcPr>
          <w:p>
            <w:pPr>
              <w:spacing w:after="0" w:line="259" w:lineRule="auto"/>
            </w:pPr>
            <w:r>
              <w:rPr>
                <w:rFonts w:ascii="Calibri" w:hAnsi="Calibri"/>
                <w:sz w:val="19"/>
              </w:rPr>
              <w:t>Remove only records identical across Time, V1-V28, Amount, and Class.</w:t>
            </w:r>
          </w:p>
        </w:tc>
        <w:tc>
          <w:tcPr>
            <w:tcW w:type="dxa" w:w="3910"/>
            <w:tcMar>
              <w:top w:w="80" w:type="dxa"/>
              <w:start w:w="120" w:type="dxa"/>
              <w:bottom w:w="80" w:type="dxa"/>
              <w:end w:w="120" w:type="dxa"/>
            </w:tcMar>
            <w:vAlign w:val="center"/>
          </w:tcPr>
          <w:p>
            <w:pPr>
              <w:spacing w:after="0" w:line="259" w:lineRule="auto"/>
            </w:pPr>
            <w:r>
              <w:rPr>
                <w:rFonts w:ascii="Calibri" w:hAnsi="Calibri"/>
                <w:sz w:val="19"/>
              </w:rPr>
              <w:t>Prevents duplicated values from inflating counts, amounts, and fraud metrics.</w:t>
            </w:r>
          </w:p>
        </w:tc>
      </w:tr>
      <w:tr>
        <w:tc>
          <w:tcPr>
            <w:tcW w:type="dxa" w:w="1850"/>
            <w:tcMar>
              <w:top w:w="80" w:type="dxa"/>
              <w:start w:w="120" w:type="dxa"/>
              <w:bottom w:w="80" w:type="dxa"/>
              <w:end w:w="120" w:type="dxa"/>
            </w:tcMar>
            <w:vAlign w:val="center"/>
          </w:tcPr>
          <w:p>
            <w:pPr>
              <w:spacing w:after="0" w:line="259" w:lineRule="auto"/>
            </w:pPr>
            <w:r>
              <w:rPr>
                <w:rFonts w:ascii="Calibri" w:hAnsi="Calibri"/>
                <w:sz w:val="19"/>
              </w:rPr>
              <w:t>Add metadata</w:t>
            </w:r>
          </w:p>
        </w:tc>
        <w:tc>
          <w:tcPr>
            <w:tcW w:type="dxa" w:w="3600"/>
            <w:tcMar>
              <w:top w:w="80" w:type="dxa"/>
              <w:start w:w="120" w:type="dxa"/>
              <w:bottom w:w="80" w:type="dxa"/>
              <w:end w:w="120" w:type="dxa"/>
            </w:tcMar>
            <w:vAlign w:val="center"/>
          </w:tcPr>
          <w:p>
            <w:pPr>
              <w:spacing w:after="0" w:line="259" w:lineRule="auto"/>
            </w:pPr>
            <w:r>
              <w:rPr>
                <w:rFonts w:ascii="Calibri" w:hAnsi="Calibri"/>
                <w:sz w:val="19"/>
              </w:rPr>
              <w:t>load_ts, source_file, source_s3_uri, batch_id, ingestion_date, pipeline_run_id.</w:t>
            </w:r>
          </w:p>
        </w:tc>
        <w:tc>
          <w:tcPr>
            <w:tcW w:type="dxa" w:w="3910"/>
            <w:tcMar>
              <w:top w:w="80" w:type="dxa"/>
              <w:start w:w="120" w:type="dxa"/>
              <w:bottom w:w="80" w:type="dxa"/>
              <w:end w:w="120" w:type="dxa"/>
            </w:tcMar>
            <w:vAlign w:val="center"/>
          </w:tcPr>
          <w:p>
            <w:pPr>
              <w:spacing w:after="0" w:line="259" w:lineRule="auto"/>
            </w:pPr>
            <w:r>
              <w:rPr>
                <w:rFonts w:ascii="Calibri" w:hAnsi="Calibri"/>
                <w:sz w:val="19"/>
              </w:rPr>
              <w:t>Every table row can be traced to its file and ingestion run.</w:t>
            </w:r>
          </w:p>
        </w:tc>
      </w:tr>
      <w:tr>
        <w:tc>
          <w:tcPr>
            <w:tcW w:type="dxa" w:w="1850"/>
            <w:tcMar>
              <w:top w:w="80" w:type="dxa"/>
              <w:start w:w="120" w:type="dxa"/>
              <w:bottom w:w="80" w:type="dxa"/>
              <w:end w:w="120" w:type="dxa"/>
            </w:tcMar>
            <w:vAlign w:val="center"/>
          </w:tcPr>
          <w:p>
            <w:pPr>
              <w:spacing w:after="0" w:line="259" w:lineRule="auto"/>
            </w:pPr>
            <w:r>
              <w:rPr>
                <w:rFonts w:ascii="Calibri" w:hAnsi="Calibri"/>
                <w:sz w:val="19"/>
              </w:rPr>
              <w:t>Write audit record</w:t>
            </w:r>
          </w:p>
        </w:tc>
        <w:tc>
          <w:tcPr>
            <w:tcW w:type="dxa" w:w="3600"/>
            <w:tcMar>
              <w:top w:w="80" w:type="dxa"/>
              <w:start w:w="120" w:type="dxa"/>
              <w:bottom w:w="80" w:type="dxa"/>
              <w:end w:w="120" w:type="dxa"/>
            </w:tcMar>
            <w:vAlign w:val="center"/>
          </w:tcPr>
          <w:p>
            <w:pPr>
              <w:spacing w:after="0" w:line="259" w:lineRule="auto"/>
            </w:pPr>
            <w:r>
              <w:rPr>
                <w:rFonts w:ascii="Calibri" w:hAnsi="Calibri"/>
                <w:sz w:val="19"/>
              </w:rPr>
              <w:t>ops.processed_files records file, rows, timestamps, run ID, status, and errors.</w:t>
            </w:r>
          </w:p>
        </w:tc>
        <w:tc>
          <w:tcPr>
            <w:tcW w:type="dxa" w:w="3910"/>
            <w:tcMar>
              <w:top w:w="80" w:type="dxa"/>
              <w:start w:w="120" w:type="dxa"/>
              <w:bottom w:w="80" w:type="dxa"/>
              <w:end w:w="120" w:type="dxa"/>
            </w:tcMar>
            <w:vAlign w:val="center"/>
          </w:tcPr>
          <w:p>
            <w:pPr>
              <w:spacing w:after="0" w:line="259" w:lineRule="auto"/>
            </w:pPr>
            <w:r>
              <w:rPr>
                <w:rFonts w:ascii="Calibri" w:hAnsi="Calibri"/>
                <w:sz w:val="19"/>
              </w:rPr>
              <w:t>Prevents the same successful file from being ingested twice.</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Bronze validation evidence</w:t>
            </w:r>
          </w:p>
          <w:p>
            <w:pPr>
              <w:spacing w:after="0" w:line="259" w:lineRule="auto"/>
            </w:pPr>
            <w:r>
              <w:rPr>
                <w:rFonts w:ascii="Calibri" w:hAnsi="Calibri"/>
                <w:b w:val="0"/>
                <w:i w:val="0"/>
                <w:color w:val="0B2545"/>
                <w:sz w:val="20"/>
              </w:rPr>
              <w:t>For the initial source, record the source row count, exact duplicate rows removed, Bronze row count, file name, batch ID, pipeline run ID, and SUCCESS status. This is evidence for the final review and live demo.</w:t>
            </w:r>
          </w:p>
        </w:tc>
      </w:tr>
    </w:tbl>
    <w:p>
      <w:pPr>
        <w:spacing w:after="20"/>
      </w:pPr>
    </w:p>
    <w:p>
      <w:pPr>
        <w:pStyle w:val="Heading1"/>
        <w:keepNext/>
        <w:spacing w:before="320" w:after="140"/>
      </w:pPr>
      <w:r>
        <w:rPr>
          <w:rFonts w:ascii="Calibri" w:hAnsi="Calibri"/>
          <w:b/>
          <w:i w:val="0"/>
          <w:color w:val="2E74B5"/>
          <w:sz w:val="32"/>
        </w:rPr>
        <w:t>4. Silver Layer: Row-Level Enrichment</w:t>
      </w:r>
    </w:p>
    <w:p>
      <w:pPr>
        <w:spacing w:after="120" w:line="264" w:lineRule="auto"/>
      </w:pPr>
      <w:r>
        <w:rPr>
          <w:rFonts w:ascii="Calibri" w:hAnsi="Calibri"/>
          <w:b w:val="0"/>
          <w:i w:val="0"/>
          <w:color w:val="000000"/>
          <w:sz w:val="22"/>
        </w:rPr>
        <w:t>Silver starts from the cleaned Bronze table. It does not change the meaning of the source data; instead, it creates clear derived columns that make the data suitable for analytics, reporting, and downstream Gold aggregations.</w:t>
      </w:r>
    </w:p>
    <w:tbl>
      <w:tblPr>
        <w:tblStyle w:val="TableGrid"/>
        <w:tblW w:type="dxa" w:w="9360"/>
        <w:jc w:val="left"/>
        <w:tblLayout w:type="fixed"/>
        <w:tblLook w:firstColumn="1" w:firstRow="1" w:lastColumn="0" w:lastRow="0" w:noHBand="0" w:noVBand="1" w:val="04A0"/>
        <w:tblInd w:w="120" w:type="dxa"/>
      </w:tblPr>
      <w:tblGrid>
        <w:gridCol w:w="1900"/>
        <w:gridCol w:w="3750"/>
        <w:gridCol w:w="3710"/>
      </w:tblGrid>
      <w:tr>
        <w:tc>
          <w:tcPr>
            <w:tcW w:type="dxa" w:w="1900"/>
            <w:tcMar>
              <w:top w:w="80" w:type="dxa"/>
              <w:start w:w="120" w:type="dxa"/>
              <w:bottom w:w="80" w:type="dxa"/>
              <w:end w:w="120" w:type="dxa"/>
            </w:tcMar>
            <w:vAlign w:val="center"/>
            <w:shd w:fill="F2F4F7"/>
          </w:tcPr>
          <w:p>
            <w:pPr>
              <w:spacing w:after="0" w:line="259" w:lineRule="auto"/>
            </w:pPr>
            <w:r>
              <w:rPr>
                <w:rFonts w:ascii="Calibri" w:hAnsi="Calibri"/>
                <w:b/>
                <w:color w:val="0B2545"/>
                <w:sz w:val="19"/>
              </w:rPr>
              <w:t>Silver feature group</w:t>
            </w:r>
          </w:p>
        </w:tc>
        <w:tc>
          <w:tcPr>
            <w:tcW w:type="dxa" w:w="3750"/>
            <w:tcMar>
              <w:top w:w="80" w:type="dxa"/>
              <w:start w:w="120" w:type="dxa"/>
              <w:bottom w:w="80" w:type="dxa"/>
              <w:end w:w="120" w:type="dxa"/>
            </w:tcMar>
            <w:vAlign w:val="center"/>
            <w:shd w:fill="F2F4F7"/>
          </w:tcPr>
          <w:p>
            <w:pPr>
              <w:spacing w:after="0" w:line="259" w:lineRule="auto"/>
            </w:pPr>
            <w:r>
              <w:rPr>
                <w:rFonts w:ascii="Calibri" w:hAnsi="Calibri"/>
                <w:b/>
                <w:color w:val="0B2545"/>
                <w:sz w:val="19"/>
              </w:rPr>
              <w:t>What is added</w:t>
            </w:r>
          </w:p>
        </w:tc>
        <w:tc>
          <w:tcPr>
            <w:tcW w:type="dxa" w:w="3710"/>
            <w:tcMar>
              <w:top w:w="80" w:type="dxa"/>
              <w:start w:w="120" w:type="dxa"/>
              <w:bottom w:w="80" w:type="dxa"/>
              <w:end w:w="120" w:type="dxa"/>
            </w:tcMar>
            <w:vAlign w:val="center"/>
            <w:shd w:fill="F2F4F7"/>
          </w:tcPr>
          <w:p>
            <w:pPr>
              <w:spacing w:after="0" w:line="259" w:lineRule="auto"/>
            </w:pPr>
            <w:r>
              <w:rPr>
                <w:rFonts w:ascii="Calibri" w:hAnsi="Calibri"/>
                <w:b/>
                <w:color w:val="0B2545"/>
                <w:sz w:val="19"/>
              </w:rPr>
              <w:t>Why it adds value</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Feature aliases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V1-V28 -&gt; FEATURE_01-FEATURE_28.</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Keeps anonymized PCA data available with consistent business-friendly names.</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Synthetic timestamp</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Add Time seconds to 2026-08-01 00:00:00.</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Allows date, hour, and time-of-day reporting. It is clearly documented as synthetic.</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Time categories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hour_bucket, time_of_day, time_band, off-hours indicator.</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Supports time-pattern dashboard slices and analyst review.</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Amount categories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amount_bucket, transaction_size, amount_risk, high_value_flag.</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Turns raw currency values into understandable, explainable segments.</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Amount statistics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amount_normalized, amount_z_score, quartile, decile, percentile, rank, dense rank.</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Highlights relative size and supports distributions and outlier review.</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Sequence values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previous_amount and next_amount ordered by synthetic transaction time.</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Enables simple sequence comparisons without claiming customer-level behavior.</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Fraud reporting labels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fraud_label, status, fraud_flag, transaction_status derived from Class.</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Makes the historical outcome easy to read in reports; not used to create a model score.</w:t>
            </w:r>
          </w:p>
        </w:tc>
      </w:tr>
      <w:tr>
        <w:tc>
          <w:tcPr>
            <w:tcW w:type="dxa" w:w="1900"/>
            <w:tcMar>
              <w:top w:w="80" w:type="dxa"/>
              <w:start w:w="120" w:type="dxa"/>
              <w:bottom w:w="80" w:type="dxa"/>
              <w:end w:w="120" w:type="dxa"/>
            </w:tcMar>
            <w:vAlign w:val="center"/>
          </w:tcPr>
          <w:p>
            <w:pPr>
              <w:spacing w:after="0" w:line="259" w:lineRule="auto"/>
            </w:pPr>
            <w:r>
              <w:rPr>
                <w:rFonts w:ascii="Calibri" w:hAnsi="Calibri"/>
                <w:sz w:val="19"/>
              </w:rPr>
              <w:t>Data-quality fields</w:t>
            </w:r>
          </w:p>
        </w:tc>
        <w:tc>
          <w:tcPr>
            <w:tcW w:type="dxa" w:w="3750"/>
            <w:tcMar>
              <w:top w:w="80" w:type="dxa"/>
              <w:start w:w="120" w:type="dxa"/>
              <w:bottom w:w="80" w:type="dxa"/>
              <w:end w:w="120" w:type="dxa"/>
            </w:tcMar>
            <w:vAlign w:val="center"/>
          </w:tcPr>
          <w:p>
            <w:pPr>
              <w:spacing w:after="0" w:line="259" w:lineRule="auto"/>
            </w:pPr>
            <w:r>
              <w:rPr>
                <w:rFonts w:ascii="Calibri" w:hAnsi="Calibri"/>
                <w:sz w:val="19"/>
              </w:rPr>
              <w:t>record_hash, is_valid_amount, has_nulls, row_num and carried Bronze audit metadata.</w:t>
            </w:r>
          </w:p>
        </w:tc>
        <w:tc>
          <w:tcPr>
            <w:tcW w:type="dxa" w:w="3710"/>
            <w:tcMar>
              <w:top w:w="80" w:type="dxa"/>
              <w:start w:w="120" w:type="dxa"/>
              <w:bottom w:w="80" w:type="dxa"/>
              <w:end w:w="120" w:type="dxa"/>
            </w:tcMar>
            <w:vAlign w:val="center"/>
          </w:tcPr>
          <w:p>
            <w:pPr>
              <w:spacing w:after="0" w:line="259" w:lineRule="auto"/>
            </w:pPr>
            <w:r>
              <w:rPr>
                <w:rFonts w:ascii="Calibri" w:hAnsi="Calibri"/>
                <w:sz w:val="19"/>
              </w:rPr>
              <w:t>Supports traceability, validation, repeatability, and reconciliation.</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Important limitation</w:t>
            </w:r>
          </w:p>
          <w:p>
            <w:pPr>
              <w:spacing w:after="0" w:line="259" w:lineRule="auto"/>
            </w:pPr>
            <w:r>
              <w:rPr>
                <w:rFonts w:ascii="Calibri" w:hAnsi="Calibri"/>
                <w:b w:val="0"/>
                <w:i w:val="0"/>
                <w:color w:val="0B2545"/>
                <w:sz w:val="20"/>
              </w:rPr>
              <w:t>The dataset does not have customer, card, merchant, location, or payment-channel identifiers. Therefore, we do not claim to calculate real card-level velocity, merchant risk, or customer behavior. Silver produces transparent transaction-level analytical features only.</w:t>
            </w:r>
          </w:p>
        </w:tc>
      </w:tr>
    </w:tbl>
    <w:p>
      <w:pPr>
        <w:spacing w:after="20"/>
      </w:pPr>
    </w:p>
    <w:p>
      <w:pPr>
        <w:pStyle w:val="Heading1"/>
        <w:keepNext/>
        <w:spacing w:before="320" w:after="140"/>
      </w:pPr>
      <w:r>
        <w:rPr>
          <w:rFonts w:ascii="Calibri" w:hAnsi="Calibri"/>
          <w:b/>
          <w:i w:val="0"/>
          <w:color w:val="2E74B5"/>
          <w:sz w:val="32"/>
        </w:rPr>
        <w:t>5. Snowflake RAW: Warehouse Staging</w:t>
      </w:r>
    </w:p>
    <w:p>
      <w:pPr>
        <w:spacing w:after="120" w:line="264" w:lineRule="auto"/>
      </w:pPr>
      <w:r>
        <w:rPr>
          <w:rFonts w:ascii="Calibri" w:hAnsi="Calibri"/>
          <w:b w:val="0"/>
          <w:i w:val="0"/>
          <w:color w:val="000000"/>
          <w:sz w:val="22"/>
        </w:rPr>
        <w:t>After Silver is complete, the enriched dataset is loaded from Databricks into FRAUD_DB.RAW.TRANSACTIONS in Snowflake. This is the Snowflake input for Gold reporting.</w:t>
      </w:r>
    </w:p>
    <w:p>
      <w:pPr>
        <w:pStyle w:val="ListBullet"/>
        <w:spacing w:after="80" w:line="264" w:lineRule="auto"/>
      </w:pPr>
      <w:r>
        <w:rPr>
          <w:rFonts w:ascii="Calibri" w:hAnsi="Calibri"/>
          <w:b w:val="0"/>
          <w:i w:val="0"/>
          <w:color w:val="000000"/>
          <w:sz w:val="22"/>
        </w:rPr>
        <w:t>Load the Silver output, including feature columns and audit metadata, into Snowflake RAW.</w:t>
      </w:r>
    </w:p>
    <w:p>
      <w:pPr>
        <w:pStyle w:val="ListBullet"/>
        <w:spacing w:after="80" w:line="264" w:lineRule="auto"/>
      </w:pPr>
      <w:r>
        <w:rPr>
          <w:rFonts w:ascii="Calibri" w:hAnsi="Calibri"/>
          <w:b w:val="0"/>
          <w:i w:val="0"/>
          <w:color w:val="000000"/>
          <w:sz w:val="22"/>
        </w:rPr>
        <w:t>Reconcile Databricks Silver row count with Snowflake RAW row count for each batch.</w:t>
      </w:r>
    </w:p>
    <w:p>
      <w:pPr>
        <w:pStyle w:val="ListBullet"/>
        <w:spacing w:after="80" w:line="264" w:lineRule="auto"/>
      </w:pPr>
      <w:r>
        <w:rPr>
          <w:rFonts w:ascii="Calibri" w:hAnsi="Calibri"/>
          <w:b w:val="0"/>
          <w:i w:val="0"/>
          <w:color w:val="000000"/>
          <w:sz w:val="22"/>
        </w:rPr>
        <w:t>Use the file/batch audit context and a record hash to make the load safe to retry.</w:t>
      </w:r>
    </w:p>
    <w:p>
      <w:pPr>
        <w:spacing w:after="120" w:line="264" w:lineRule="auto"/>
      </w:pPr>
      <w:r>
        <w:rPr>
          <w:rFonts w:ascii="Calibri" w:hAnsi="Calibri"/>
          <w:b w:val="0"/>
          <w:i w:val="0"/>
          <w:color w:val="000000"/>
          <w:sz w:val="22"/>
        </w:rPr>
        <w:t>Why this adds value: Snowflake becomes the governed analytics warehouse. Analysts and dashboards use its reporting tables without querying the large Spark/Delta transformation tables directly.</w:t>
      </w:r>
    </w:p>
    <w:p>
      <w:pPr>
        <w:pStyle w:val="Heading1"/>
        <w:keepNext/>
        <w:spacing w:before="320" w:after="140"/>
      </w:pPr>
      <w:r>
        <w:rPr>
          <w:rFonts w:ascii="Calibri" w:hAnsi="Calibri"/>
          <w:b/>
          <w:i w:val="0"/>
          <w:color w:val="2E74B5"/>
          <w:sz w:val="32"/>
        </w:rPr>
        <w:t>6. Gold Layer: Reporting Transformations</w:t>
      </w:r>
    </w:p>
    <w:p>
      <w:pPr>
        <w:spacing w:after="120" w:line="264" w:lineRule="auto"/>
      </w:pPr>
      <w:r>
        <w:rPr>
          <w:rFonts w:ascii="Calibri" w:hAnsi="Calibri"/>
          <w:b w:val="0"/>
          <w:i w:val="0"/>
          <w:color w:val="000000"/>
          <w:sz w:val="22"/>
        </w:rPr>
        <w:t>Gold does perform transformations. They are reporting and aggregation transformations, not repeated row-level cleansing or enrichment. Gold consumes the prepared Silver columns from Snowflake RAW and produces small, fast, business-ready tables.</w:t>
      </w:r>
    </w:p>
    <w:tbl>
      <w:tblPr>
        <w:tblStyle w:val="TableGrid"/>
        <w:tblW w:type="dxa" w:w="9360"/>
        <w:jc w:val="left"/>
        <w:tblLayout w:type="fixed"/>
        <w:tblLook w:firstColumn="1" w:firstRow="1" w:lastColumn="0" w:lastRow="0" w:noHBand="0" w:noVBand="1" w:val="04A0"/>
        <w:tblInd w:w="120" w:type="dxa"/>
      </w:tblPr>
      <w:tblGrid>
        <w:gridCol w:w="2000"/>
        <w:gridCol w:w="4450"/>
        <w:gridCol w:w="2910"/>
      </w:tblGrid>
      <w:tr>
        <w:tc>
          <w:tcPr>
            <w:tcW w:type="dxa" w:w="2000"/>
            <w:tcMar>
              <w:top w:w="80" w:type="dxa"/>
              <w:start w:w="120" w:type="dxa"/>
              <w:bottom w:w="80" w:type="dxa"/>
              <w:end w:w="120" w:type="dxa"/>
            </w:tcMar>
            <w:vAlign w:val="center"/>
            <w:shd w:fill="F2F4F7"/>
          </w:tcPr>
          <w:p>
            <w:pPr>
              <w:spacing w:after="0" w:line="259" w:lineRule="auto"/>
            </w:pPr>
            <w:r>
              <w:rPr>
                <w:rFonts w:ascii="Calibri" w:hAnsi="Calibri"/>
                <w:b/>
                <w:color w:val="0B2545"/>
                <w:sz w:val="19"/>
              </w:rPr>
              <w:t>Gold output</w:t>
            </w:r>
          </w:p>
        </w:tc>
        <w:tc>
          <w:tcPr>
            <w:tcW w:type="dxa" w:w="4450"/>
            <w:tcMar>
              <w:top w:w="80" w:type="dxa"/>
              <w:start w:w="120" w:type="dxa"/>
              <w:bottom w:w="80" w:type="dxa"/>
              <w:end w:w="120" w:type="dxa"/>
            </w:tcMar>
            <w:vAlign w:val="center"/>
            <w:shd w:fill="F2F4F7"/>
          </w:tcPr>
          <w:p>
            <w:pPr>
              <w:spacing w:after="0" w:line="259" w:lineRule="auto"/>
            </w:pPr>
            <w:r>
              <w:rPr>
                <w:rFonts w:ascii="Calibri" w:hAnsi="Calibri"/>
                <w:b/>
                <w:color w:val="0B2545"/>
                <w:sz w:val="19"/>
              </w:rPr>
              <w:t>Transformation</w:t>
            </w:r>
          </w:p>
        </w:tc>
        <w:tc>
          <w:tcPr>
            <w:tcW w:type="dxa" w:w="2910"/>
            <w:tcMar>
              <w:top w:w="80" w:type="dxa"/>
              <w:start w:w="120" w:type="dxa"/>
              <w:bottom w:w="80" w:type="dxa"/>
              <w:end w:w="120" w:type="dxa"/>
            </w:tcMar>
            <w:vAlign w:val="center"/>
            <w:shd w:fill="F2F4F7"/>
          </w:tcPr>
          <w:p>
            <w:pPr>
              <w:spacing w:after="0" w:line="259" w:lineRule="auto"/>
            </w:pPr>
            <w:r>
              <w:rPr>
                <w:rFonts w:ascii="Calibri" w:hAnsi="Calibri"/>
                <w:b/>
                <w:color w:val="0B2545"/>
                <w:sz w:val="19"/>
              </w:rPr>
              <w:t>Final-output use</w:t>
            </w:r>
          </w:p>
        </w:tc>
      </w:tr>
      <w:tr>
        <w:tc>
          <w:tcPr>
            <w:tcW w:type="dxa" w:w="2000"/>
            <w:tcMar>
              <w:top w:w="80" w:type="dxa"/>
              <w:start w:w="120" w:type="dxa"/>
              <w:bottom w:w="80" w:type="dxa"/>
              <w:end w:w="120" w:type="dxa"/>
            </w:tcMar>
            <w:vAlign w:val="center"/>
          </w:tcPr>
          <w:p>
            <w:pPr>
              <w:spacing w:after="0" w:line="259" w:lineRule="auto"/>
            </w:pPr>
            <w:r>
              <w:rPr>
                <w:rFonts w:ascii="Calibri" w:hAnsi="Calibri"/>
                <w:sz w:val="19"/>
              </w:rPr>
              <w:t>FRAUD_DAILY_SUMMARY</w:t>
            </w:r>
          </w:p>
        </w:tc>
        <w:tc>
          <w:tcPr>
            <w:tcW w:type="dxa" w:w="4450"/>
            <w:tcMar>
              <w:top w:w="80" w:type="dxa"/>
              <w:start w:w="120" w:type="dxa"/>
              <w:bottom w:w="80" w:type="dxa"/>
              <w:end w:w="120" w:type="dxa"/>
            </w:tcMar>
            <w:vAlign w:val="center"/>
          </w:tcPr>
          <w:p>
            <w:pPr>
              <w:spacing w:after="0" w:line="259" w:lineRule="auto"/>
            </w:pPr>
            <w:r>
              <w:rPr>
                <w:rFonts w:ascii="Calibri" w:hAnsi="Calibri"/>
                <w:sz w:val="19"/>
              </w:rPr>
              <w:t>Group by synthetic transaction date; calculate total transactions, fraud count, legitimate count, fraud percentage, average/minimum/maximum amount.</w:t>
            </w:r>
          </w:p>
        </w:tc>
        <w:tc>
          <w:tcPr>
            <w:tcW w:type="dxa" w:w="2910"/>
            <w:tcMar>
              <w:top w:w="80" w:type="dxa"/>
              <w:start w:w="120" w:type="dxa"/>
              <w:bottom w:w="80" w:type="dxa"/>
              <w:end w:w="120" w:type="dxa"/>
            </w:tcMar>
            <w:vAlign w:val="center"/>
          </w:tcPr>
          <w:p>
            <w:pPr>
              <w:spacing w:after="0" w:line="259" w:lineRule="auto"/>
            </w:pPr>
            <w:r>
              <w:rPr>
                <w:rFonts w:ascii="Calibri" w:hAnsi="Calibri"/>
                <w:sz w:val="19"/>
              </w:rPr>
              <w:t>Dashboard KPI cards and daily fraud trend.</w:t>
            </w:r>
          </w:p>
        </w:tc>
      </w:tr>
      <w:tr>
        <w:tc>
          <w:tcPr>
            <w:tcW w:type="dxa" w:w="2000"/>
            <w:tcMar>
              <w:top w:w="80" w:type="dxa"/>
              <w:start w:w="120" w:type="dxa"/>
              <w:bottom w:w="80" w:type="dxa"/>
              <w:end w:w="120" w:type="dxa"/>
            </w:tcMar>
            <w:vAlign w:val="center"/>
          </w:tcPr>
          <w:p>
            <w:pPr>
              <w:spacing w:after="0" w:line="259" w:lineRule="auto"/>
            </w:pPr>
            <w:r>
              <w:rPr>
                <w:rFonts w:ascii="Calibri" w:hAnsi="Calibri"/>
                <w:sz w:val="19"/>
              </w:rPr>
              <w:t>AMOUNT_DISTRIBUTION</w:t>
            </w:r>
          </w:p>
        </w:tc>
        <w:tc>
          <w:tcPr>
            <w:tcW w:type="dxa" w:w="4450"/>
            <w:tcMar>
              <w:top w:w="80" w:type="dxa"/>
              <w:start w:w="120" w:type="dxa"/>
              <w:bottom w:w="80" w:type="dxa"/>
              <w:end w:w="120" w:type="dxa"/>
            </w:tcMar>
            <w:vAlign w:val="center"/>
          </w:tcPr>
          <w:p>
            <w:pPr>
              <w:spacing w:after="0" w:line="259" w:lineRule="auto"/>
            </w:pPr>
            <w:r>
              <w:rPr>
                <w:rFonts w:ascii="Calibri" w:hAnsi="Calibri"/>
                <w:sz w:val="19"/>
              </w:rPr>
              <w:t>Group by amount_bucket; calculate transaction count, fraud count, legitimate count, and average amount.</w:t>
            </w:r>
          </w:p>
        </w:tc>
        <w:tc>
          <w:tcPr>
            <w:tcW w:type="dxa" w:w="2910"/>
            <w:tcMar>
              <w:top w:w="80" w:type="dxa"/>
              <w:start w:w="120" w:type="dxa"/>
              <w:bottom w:w="80" w:type="dxa"/>
              <w:end w:w="120" w:type="dxa"/>
            </w:tcMar>
            <w:vAlign w:val="center"/>
          </w:tcPr>
          <w:p>
            <w:pPr>
              <w:spacing w:after="0" w:line="259" w:lineRule="auto"/>
            </w:pPr>
            <w:r>
              <w:rPr>
                <w:rFonts w:ascii="Calibri" w:hAnsi="Calibri"/>
                <w:sz w:val="19"/>
              </w:rPr>
              <w:t>Shows how transaction and fraud activity is distributed by amount.</w:t>
            </w:r>
          </w:p>
        </w:tc>
      </w:tr>
      <w:tr>
        <w:tc>
          <w:tcPr>
            <w:tcW w:type="dxa" w:w="2000"/>
            <w:tcMar>
              <w:top w:w="80" w:type="dxa"/>
              <w:start w:w="120" w:type="dxa"/>
              <w:bottom w:w="80" w:type="dxa"/>
              <w:end w:w="120" w:type="dxa"/>
            </w:tcMar>
            <w:vAlign w:val="center"/>
          </w:tcPr>
          <w:p>
            <w:pPr>
              <w:spacing w:after="0" w:line="259" w:lineRule="auto"/>
            </w:pPr>
            <w:r>
              <w:rPr>
                <w:rFonts w:ascii="Calibri" w:hAnsi="Calibri"/>
                <w:sz w:val="19"/>
              </w:rPr>
              <w:t>RISK_DASHBOARD</w:t>
            </w:r>
          </w:p>
        </w:tc>
        <w:tc>
          <w:tcPr>
            <w:tcW w:type="dxa" w:w="4450"/>
            <w:tcMar>
              <w:top w:w="80" w:type="dxa"/>
              <w:start w:w="120" w:type="dxa"/>
              <w:bottom w:w="80" w:type="dxa"/>
              <w:end w:w="120" w:type="dxa"/>
            </w:tcMar>
            <w:vAlign w:val="center"/>
          </w:tcPr>
          <w:p>
            <w:pPr>
              <w:spacing w:after="0" w:line="259" w:lineRule="auto"/>
            </w:pPr>
            <w:r>
              <w:rPr>
                <w:rFonts w:ascii="Calibri" w:hAnsi="Calibri"/>
                <w:sz w:val="19"/>
              </w:rPr>
              <w:t>Group by amount_risk, time_of_day, and amount_bucket; calculate volume, fraud count, high-value count, average amount, and fraud percentage.</w:t>
            </w:r>
          </w:p>
        </w:tc>
        <w:tc>
          <w:tcPr>
            <w:tcW w:type="dxa" w:w="2910"/>
            <w:tcMar>
              <w:top w:w="80" w:type="dxa"/>
              <w:start w:w="120" w:type="dxa"/>
              <w:bottom w:w="80" w:type="dxa"/>
              <w:end w:w="120" w:type="dxa"/>
            </w:tcMar>
            <w:vAlign w:val="center"/>
          </w:tcPr>
          <w:p>
            <w:pPr>
              <w:spacing w:after="0" w:line="259" w:lineRule="auto"/>
            </w:pPr>
            <w:r>
              <w:rPr>
                <w:rFonts w:ascii="Calibri" w:hAnsi="Calibri"/>
                <w:sz w:val="19"/>
              </w:rPr>
              <w:t>Drives grouped charts and heat-map style analysis.</w:t>
            </w:r>
          </w:p>
        </w:tc>
      </w:tr>
      <w:tr>
        <w:tc>
          <w:tcPr>
            <w:tcW w:type="dxa" w:w="2000"/>
            <w:tcMar>
              <w:top w:w="80" w:type="dxa"/>
              <w:start w:w="120" w:type="dxa"/>
              <w:bottom w:w="80" w:type="dxa"/>
              <w:end w:w="120" w:type="dxa"/>
            </w:tcMar>
            <w:vAlign w:val="center"/>
          </w:tcPr>
          <w:p>
            <w:pPr>
              <w:spacing w:after="0" w:line="259" w:lineRule="auto"/>
            </w:pPr>
            <w:r>
              <w:rPr>
                <w:rFonts w:ascii="Calibri" w:hAnsi="Calibri"/>
                <w:sz w:val="19"/>
              </w:rPr>
              <w:t>HIGH_RISK_QUEUE (optional)</w:t>
            </w:r>
          </w:p>
        </w:tc>
        <w:tc>
          <w:tcPr>
            <w:tcW w:type="dxa" w:w="4450"/>
            <w:tcMar>
              <w:top w:w="80" w:type="dxa"/>
              <w:start w:w="120" w:type="dxa"/>
              <w:bottom w:w="80" w:type="dxa"/>
              <w:end w:w="120" w:type="dxa"/>
            </w:tcMar>
            <w:vAlign w:val="center"/>
          </w:tcPr>
          <w:p>
            <w:pPr>
              <w:spacing w:after="0" w:line="259" w:lineRule="auto"/>
            </w:pPr>
            <w:r>
              <w:rPr>
                <w:rFonts w:ascii="Calibri" w:hAnsi="Calibri"/>
                <w:sz w:val="19"/>
              </w:rPr>
              <w:t>Filter transactions meeting transparent review criteria such as high amount risk or high-value flag.</w:t>
            </w:r>
          </w:p>
        </w:tc>
        <w:tc>
          <w:tcPr>
            <w:tcW w:type="dxa" w:w="2910"/>
            <w:tcMar>
              <w:top w:w="80" w:type="dxa"/>
              <w:start w:w="120" w:type="dxa"/>
              <w:bottom w:w="80" w:type="dxa"/>
              <w:end w:w="120" w:type="dxa"/>
            </w:tcMar>
            <w:vAlign w:val="center"/>
          </w:tcPr>
          <w:p>
            <w:pPr>
              <w:spacing w:after="0" w:line="259" w:lineRule="auto"/>
            </w:pPr>
            <w:r>
              <w:rPr>
                <w:rFonts w:ascii="Calibri" w:hAnsi="Calibri"/>
                <w:sz w:val="19"/>
              </w:rPr>
              <w:t>Provides an analyst-facing detail list for the demo.</w:t>
            </w:r>
          </w:p>
        </w:tc>
      </w:tr>
    </w:tbl>
    <w:p>
      <w:pPr>
        <w:pStyle w:val="Heading1"/>
        <w:keepNext/>
        <w:spacing w:before="320" w:after="140"/>
      </w:pPr>
      <w:r>
        <w:rPr>
          <w:rFonts w:ascii="Calibri" w:hAnsi="Calibri"/>
          <w:b/>
          <w:i w:val="0"/>
          <w:color w:val="2E74B5"/>
          <w:sz w:val="32"/>
        </w:rPr>
        <w:t>7. Why We Do Not Repeat Silver Transformations in Gold</w:t>
      </w:r>
    </w:p>
    <w:p>
      <w:pPr>
        <w:spacing w:after="120" w:line="264" w:lineRule="auto"/>
      </w:pPr>
      <w:r>
        <w:rPr>
          <w:rFonts w:ascii="Calibri" w:hAnsi="Calibri"/>
          <w:b w:val="0"/>
          <w:i w:val="0"/>
          <w:color w:val="000000"/>
          <w:sz w:val="22"/>
        </w:rPr>
        <w:t>Gold is not transformation-free. It deliberately avoids repeating the transformations that already belong in Silver. This separation is important for correctness, maintainability, and dashboard performance.</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0" w:line="259" w:lineRule="auto"/>
            </w:pPr>
            <w:r>
              <w:rPr>
                <w:rFonts w:ascii="Calibri" w:hAnsi="Calibri"/>
                <w:b/>
                <w:color w:val="0B2545"/>
                <w:sz w:val="19"/>
              </w:rPr>
              <w:t>Reason</w:t>
            </w:r>
          </w:p>
        </w:tc>
        <w:tc>
          <w:tcPr>
            <w:tcW w:type="dxa" w:w="6760"/>
            <w:tcMar>
              <w:top w:w="80" w:type="dxa"/>
              <w:start w:w="120" w:type="dxa"/>
              <w:bottom w:w="80" w:type="dxa"/>
              <w:end w:w="120" w:type="dxa"/>
            </w:tcMar>
            <w:vAlign w:val="center"/>
            <w:shd w:fill="F2F4F7"/>
          </w:tcPr>
          <w:p>
            <w:pPr>
              <w:spacing w:after="0" w:line="259" w:lineRule="auto"/>
            </w:pPr>
            <w:r>
              <w:rPr>
                <w:rFonts w:ascii="Calibri" w:hAnsi="Calibri"/>
                <w:b/>
                <w:color w:val="0B2545"/>
                <w:sz w:val="19"/>
              </w:rPr>
              <w:t>Why it is useful</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Single source of truth</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Amount buckets, risk categories, labels, timestamps, and quality rules are calculated once in Silver. Every Gold report then uses the same definitions.</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No conflicting logic</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Recreating amount-risk or fraud-label rules in every Gold table could produce mismatched dashboard results.</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Faster dashboards</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Gold stores compact aggregates, so a dashboard does not repeatedly calculate statistics across hundreds of thousands of transaction rows.</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Clear Medallion responsibility</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Bronze ingests and audits; Silver enriches each transaction; Gold aggregates for business consumption.</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Simpler orchestration</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Dagster can validate each layer independently and rerun only the failed or affected step.</w:t>
            </w:r>
          </w:p>
        </w:tc>
      </w:tr>
    </w:tbl>
    <w:p>
      <w:pPr>
        <w:pStyle w:val="Heading1"/>
        <w:keepNext/>
        <w:spacing w:before="320" w:after="140"/>
      </w:pPr>
      <w:r>
        <w:rPr>
          <w:rFonts w:ascii="Calibri" w:hAnsi="Calibri"/>
          <w:b/>
          <w:i w:val="0"/>
          <w:color w:val="2E74B5"/>
          <w:sz w:val="32"/>
        </w:rPr>
        <w:t>8. Dagster-Compatible Incremental Processing</w:t>
      </w:r>
    </w:p>
    <w:p>
      <w:pPr>
        <w:spacing w:after="120" w:line="264" w:lineRule="auto"/>
      </w:pPr>
      <w:r>
        <w:rPr>
          <w:rFonts w:ascii="Calibri" w:hAnsi="Calibri"/>
          <w:b w:val="0"/>
          <w:i w:val="0"/>
          <w:color w:val="000000"/>
          <w:sz w:val="22"/>
        </w:rPr>
        <w:t>The manual notebooks are designed to become automated Dagster tasks. Dagster will control the dependency order while Databricks and Snowflake perform the processing work.</w:t>
      </w:r>
    </w:p>
    <w:p>
      <w:pPr>
        <w:pStyle w:val="ListBullet"/>
        <w:spacing w:after="80" w:line="264" w:lineRule="auto"/>
      </w:pPr>
      <w:r>
        <w:rPr>
          <w:rFonts w:ascii="Calibri" w:hAnsi="Calibri"/>
          <w:b w:val="0"/>
          <w:i w:val="0"/>
          <w:color w:val="000000"/>
          <w:sz w:val="22"/>
        </w:rPr>
        <w:t>Dagster sensor detects a new CSV file in S3 landing and supplies source_file_name and batch_id.</w:t>
      </w:r>
    </w:p>
    <w:p>
      <w:pPr>
        <w:pStyle w:val="ListBullet"/>
        <w:spacing w:after="80" w:line="264" w:lineRule="auto"/>
      </w:pPr>
      <w:r>
        <w:rPr>
          <w:rFonts w:ascii="Calibri" w:hAnsi="Calibri"/>
          <w:b w:val="0"/>
          <w:i w:val="0"/>
          <w:color w:val="000000"/>
          <w:sz w:val="22"/>
        </w:rPr>
        <w:t>Databricks Bronze checks ops.processed_files. A file already marked SUCCESS is skipped; a new file is ingested and audited.</w:t>
      </w:r>
    </w:p>
    <w:p>
      <w:pPr>
        <w:pStyle w:val="ListBullet"/>
        <w:spacing w:after="80" w:line="264" w:lineRule="auto"/>
      </w:pPr>
      <w:r>
        <w:rPr>
          <w:rFonts w:ascii="Calibri" w:hAnsi="Calibri"/>
          <w:b w:val="0"/>
          <w:i w:val="0"/>
          <w:color w:val="000000"/>
          <w:sz w:val="22"/>
        </w:rPr>
        <w:t>Databricks Silver processes the successful Bronze batch, creates the row-level features, and writes an idempotent Silver result.</w:t>
      </w:r>
    </w:p>
    <w:p>
      <w:pPr>
        <w:pStyle w:val="ListBullet"/>
        <w:spacing w:after="80" w:line="264" w:lineRule="auto"/>
      </w:pPr>
      <w:r>
        <w:rPr>
          <w:rFonts w:ascii="Calibri" w:hAnsi="Calibri"/>
          <w:b w:val="0"/>
          <w:i w:val="0"/>
          <w:color w:val="000000"/>
          <w:sz w:val="22"/>
        </w:rPr>
        <w:t>Databricks loads that Silver batch to Snowflake RAW and reconciles the row count.</w:t>
      </w:r>
    </w:p>
    <w:p>
      <w:pPr>
        <w:pStyle w:val="ListBullet"/>
        <w:spacing w:after="80" w:line="264" w:lineRule="auto"/>
      </w:pPr>
      <w:r>
        <w:rPr>
          <w:rFonts w:ascii="Calibri" w:hAnsi="Calibri"/>
          <w:b w:val="0"/>
          <w:i w:val="0"/>
          <w:color w:val="000000"/>
          <w:sz w:val="22"/>
        </w:rPr>
        <w:t>Dagster calls Snowflake Gold SQL or a stored procedure after RAW loading succeeds.</w:t>
      </w:r>
    </w:p>
    <w:p>
      <w:pPr>
        <w:pStyle w:val="ListBullet"/>
        <w:spacing w:after="80" w:line="264" w:lineRule="auto"/>
      </w:pPr>
      <w:r>
        <w:rPr>
          <w:rFonts w:ascii="Calibri" w:hAnsi="Calibri"/>
          <w:b w:val="0"/>
          <w:i w:val="0"/>
          <w:color w:val="000000"/>
          <w:sz w:val="22"/>
        </w:rPr>
        <w:t>Dagster records success/failure and stops downstream tasks if an upstream validation fails.</w:t>
      </w:r>
    </w:p>
    <w:p>
      <w:pPr>
        <w:pStyle w:val="Heading1"/>
        <w:keepNext/>
        <w:spacing w:before="320" w:after="140"/>
      </w:pPr>
      <w:r>
        <w:rPr>
          <w:rFonts w:ascii="Calibri" w:hAnsi="Calibri"/>
          <w:b/>
          <w:i w:val="0"/>
          <w:color w:val="2E74B5"/>
          <w:sz w:val="32"/>
        </w:rPr>
        <w:t>9. How This Supports the Final Assessment</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F2F4F7"/>
          </w:tcPr>
          <w:p>
            <w:pPr>
              <w:spacing w:after="0" w:line="259" w:lineRule="auto"/>
            </w:pPr>
            <w:r>
              <w:rPr>
                <w:rFonts w:ascii="Calibri" w:hAnsi="Calibri"/>
                <w:b/>
                <w:color w:val="0B2545"/>
                <w:sz w:val="19"/>
              </w:rPr>
              <w:t>Assessment deliverable</w:t>
            </w:r>
          </w:p>
        </w:tc>
        <w:tc>
          <w:tcPr>
            <w:tcW w:type="dxa" w:w="6760"/>
            <w:tcMar>
              <w:top w:w="80" w:type="dxa"/>
              <w:start w:w="120" w:type="dxa"/>
              <w:bottom w:w="80" w:type="dxa"/>
              <w:end w:w="120" w:type="dxa"/>
            </w:tcMar>
            <w:vAlign w:val="center"/>
            <w:shd w:fill="F2F4F7"/>
          </w:tcPr>
          <w:p>
            <w:pPr>
              <w:spacing w:after="0" w:line="259" w:lineRule="auto"/>
            </w:pPr>
            <w:r>
              <w:rPr>
                <w:rFonts w:ascii="Calibri" w:hAnsi="Calibri"/>
                <w:b/>
                <w:color w:val="0B2545"/>
                <w:sz w:val="19"/>
              </w:rPr>
              <w:t>How the design supports it</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Working pipeline</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Shows S3 ingestion through Bronze, Silver, Snowflake RAW, Gold, and orchestration.</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Data model and architecture</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Clearly explains which platform owns each layer and why.</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Testing and validation</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Provides row-count reconciliation, audit records, data-quality checks, and repeatable evidence.</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Presentation and live demo</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Lets the team trace one file from S3 to Bronze, Silver features, Snowflake Gold metrics, and dashboard output.</w:t>
            </w:r>
          </w:p>
        </w:tc>
      </w:tr>
      <w:tr>
        <w:tc>
          <w:tcPr>
            <w:tcW w:type="dxa" w:w="2600"/>
            <w:tcMar>
              <w:top w:w="80" w:type="dxa"/>
              <w:start w:w="120" w:type="dxa"/>
              <w:bottom w:w="80" w:type="dxa"/>
              <w:end w:w="120" w:type="dxa"/>
            </w:tcMar>
            <w:vAlign w:val="center"/>
          </w:tcPr>
          <w:p>
            <w:pPr>
              <w:spacing w:after="0" w:line="259" w:lineRule="auto"/>
            </w:pPr>
            <w:r>
              <w:rPr>
                <w:rFonts w:ascii="Calibri" w:hAnsi="Calibri"/>
                <w:sz w:val="19"/>
              </w:rPr>
              <w:t>AI-usage write-up</w:t>
            </w:r>
          </w:p>
        </w:tc>
        <w:tc>
          <w:tcPr>
            <w:tcW w:type="dxa" w:w="6760"/>
            <w:tcMar>
              <w:top w:w="80" w:type="dxa"/>
              <w:start w:w="120" w:type="dxa"/>
              <w:bottom w:w="80" w:type="dxa"/>
              <w:end w:w="120" w:type="dxa"/>
            </w:tcMar>
            <w:vAlign w:val="center"/>
          </w:tcPr>
          <w:p>
            <w:pPr>
              <w:spacing w:after="0" w:line="259" w:lineRule="auto"/>
            </w:pPr>
            <w:r>
              <w:rPr>
                <w:rFonts w:ascii="Calibri" w:hAnsi="Calibri"/>
                <w:sz w:val="19"/>
              </w:rPr>
              <w:t>The team can describe AI assistance for design, documentation, code explanation, and validation planning while retaining ownership of implementation.</w:t>
            </w:r>
          </w:p>
        </w:tc>
      </w:tr>
    </w:tbl>
    <w:p>
      <w:pPr>
        <w:pStyle w:val="Heading1"/>
        <w:keepNext/>
        <w:spacing w:before="320" w:after="140"/>
      </w:pPr>
      <w:r>
        <w:rPr>
          <w:rFonts w:ascii="Calibri" w:hAnsi="Calibri"/>
          <w:b/>
          <w:i w:val="0"/>
          <w:color w:val="2E74B5"/>
          <w:sz w:val="32"/>
        </w:rPr>
        <w:t>10. Final Explanation for Reviewers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i w:val="0"/>
                <w:color w:val="1F4D78"/>
                <w:sz w:val="21"/>
              </w:rPr>
              <w:t>One-sentence summary</w:t>
            </w:r>
          </w:p>
          <w:p>
            <w:pPr>
              <w:spacing w:after="0" w:line="259" w:lineRule="auto"/>
            </w:pPr>
            <w:r>
              <w:rPr>
                <w:rFonts w:ascii="Calibri" w:hAnsi="Calibri"/>
                <w:b w:val="0"/>
                <w:i w:val="0"/>
                <w:color w:val="0B2545"/>
                <w:sz w:val="20"/>
              </w:rPr>
              <w:t>We ingest and audit source fraud data in Bronze, enrich each cleaned transaction in Silver, load the enriched result into Snowflake, and use Gold aggregation tables to power explainable fraud reporting and dashboards. Gold does not repeat Silver logic because its purpose is to convert trusted transaction-level features into fast business metrics.</w:t>
            </w:r>
          </w:p>
        </w:tc>
      </w:tr>
    </w:tbl>
    <w:p>
      <w:pPr>
        <w:spacing w:after="20"/>
      </w:pP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6B7280"/>
        <w:sz w:val="17"/>
      </w:rPr>
      <w:t>Credit Card Fraud Detection | Pipeline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Card Fraud Detection - Current Pipeline Activities</dc:title>
  <dc:subject>Bronze, Silver, Snowflake Gold, orchestration, and rationale</dc:subject>
  <dc:creator>Credit Card Fraud Detection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