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1A365D"/>
          <w:sz w:val="44"/>
        </w:rPr>
        <w:t>AI INSIGHTS FOR NGO GROWTH</w:t>
      </w:r>
    </w:p>
    <w:p>
      <w:pPr>
        <w:spacing w:after="360"/>
        <w:jc w:val="center"/>
      </w:pPr>
      <w:r>
        <w:rPr>
          <w:rFonts w:ascii="Calibri" w:hAnsi="Calibri"/>
          <w:i/>
          <w:color w:val="4A5568"/>
          <w:sz w:val="22"/>
        </w:rPr>
        <w:t>5 AI-Powered Strategies to Enhance Outreach, Engagement, Fundraising, and Brand Presence</w:t>
      </w:r>
    </w:p>
    <w:p>
      <w:pPr>
        <w:spacing w:after="280"/>
        <w:jc w:val="center"/>
      </w:pPr>
      <w:r>
        <w:rPr>
          <w:color w:val="319795"/>
        </w:rPr>
        <w:t>——————————————————————————————————————————————————</w:t>
      </w:r>
    </w:p>
    <w:p>
      <w:pPr>
        <w:keepNext/>
        <w:spacing w:before="200" w:after="120"/>
        <w:pBdr>
          <w:bottom w:val="single" w:sz="12" w:space="4" w:color="319795"/>
        </w:pBdr>
      </w:pPr>
      <w:r>
        <w:rPr>
          <w:rFonts w:ascii="Calibri" w:hAnsi="Calibri"/>
          <w:b/>
          <w:color w:val="1A365D"/>
          <w:sz w:val="30"/>
        </w:rPr>
        <w:t>Executive Summary</w:t>
      </w:r>
    </w:p>
    <w:tbl>
      <w:tblPr>
        <w:tblW w:type="auto" w:w="0"/>
        <w:jc w:val="center"/>
        <w:tblLook w:firstColumn="1" w:firstRow="1" w:lastColumn="0" w:lastRow="0" w:noHBand="0" w:noVBand="1" w:val="04A0"/>
      </w:tblPr>
      <w:tblGrid>
        <w:gridCol w:w="9360"/>
      </w:tblGrid>
      <w:tr>
        <w:tc>
          <w:tcPr>
            <w:tcW w:type="dxa" w:w="9360"/>
            <w:shd w:fill="F7FAFC"/>
            <w:tcBorders>
              <w:left w:val="single" w:sz="24" w:space="0" w:color="319795"/>
              <w:top w:val="none"/>
              <w:right w:val="none"/>
              <w:bottom w:val="none"/>
            </w:tcBorders>
          </w:tcPr>
          <w:p>
            <w:pPr>
              <w:spacing w:before="160" w:after="160" w:line="276" w:lineRule="auto"/>
              <w:ind w:left="216" w:right="216"/>
            </w:pPr>
            <w:r>
              <w:rPr>
                <w:rFonts w:ascii="Calibri" w:hAnsi="Calibri"/>
                <w:i/>
                <w:color w:val="2D3748"/>
                <w:sz w:val="20"/>
              </w:rPr>
              <w:t>For modern non-profit organizations like the InAmigos Foundation, social impact relies heavily on the efficiency of outreach and the sustainability of donor funding. In 2026, Artificial Intelligence (AI) has shifted from a futuristic tool to an essential operational asset. Rather than replacing the essential empathy of NGO work, AI enables small teams to amplify their reach, build deeper relationships with volunteers, automate content creation, and maximize fundraising retention. This report details 5 concrete, actionable strategies that the InAmigos Foundation can implement to drive organic community growth and secure sustainable funding.</w:t>
            </w:r>
          </w:p>
        </w:tc>
      </w:tr>
    </w:tbl>
    <w:p>
      <w:pPr>
        <w:spacing w:after="120"/>
      </w:pPr>
    </w:p>
    <w:p>
      <w:pPr>
        <w:keepNext/>
        <w:spacing w:before="280" w:after="120"/>
        <w:pBdr>
          <w:bottom w:val="single" w:sz="12" w:space="4" w:color="319795"/>
        </w:pBdr>
      </w:pPr>
      <w:r>
        <w:rPr>
          <w:rFonts w:ascii="Calibri" w:hAnsi="Calibri"/>
          <w:b/>
          <w:color w:val="1A365D"/>
          <w:sz w:val="30"/>
        </w:rPr>
        <w:t>1. AI-Driven Hyper-Personalized Donor Communication</w:t>
      </w:r>
    </w:p>
    <w:p>
      <w:pPr>
        <w:spacing w:after="120" w:line="276" w:lineRule="auto"/>
      </w:pPr>
      <w:r>
        <w:rPr>
          <w:rFonts w:ascii="Calibri" w:hAnsi="Calibri"/>
          <w:color w:val="2D3748"/>
          <w:sz w:val="22"/>
        </w:rPr>
        <w:t>Traditional fundraising outreach often relies on generic mass email campaigns. However, modern donors demand relevance and transparency regarding the projects they support. AI segmentation makes hyper-personalization scalable:</w:t>
      </w:r>
    </w:p>
    <w:p>
      <w:pPr>
        <w:pStyle w:val="ListBullet"/>
        <w:spacing w:after="60" w:line="276" w:lineRule="auto"/>
      </w:pPr>
      <w:r>
        <w:rPr>
          <w:rFonts w:ascii="Calibri" w:hAnsi="Calibri"/>
          <w:b/>
          <w:color w:val="2D3748"/>
          <w:sz w:val="22"/>
        </w:rPr>
        <w:t xml:space="preserve">Behavioral Segmentation: </w:t>
      </w:r>
      <w:r>
        <w:rPr>
          <w:rFonts w:ascii="Calibri" w:hAnsi="Calibri"/>
          <w:color w:val="2D3748"/>
          <w:sz w:val="22"/>
        </w:rPr>
        <w:t>AI algorithms analyze historical donor donation records, specific project affinity (e.g., child education vs. eco tree plantation drives), and email click patterns to group donors automatically.</w:t>
      </w:r>
    </w:p>
    <w:p>
      <w:pPr>
        <w:pStyle w:val="ListBullet"/>
        <w:spacing w:after="60" w:line="276" w:lineRule="auto"/>
      </w:pPr>
      <w:r>
        <w:rPr>
          <w:rFonts w:ascii="Calibri" w:hAnsi="Calibri"/>
          <w:b/>
          <w:color w:val="2D3748"/>
          <w:sz w:val="22"/>
        </w:rPr>
        <w:t xml:space="preserve">Tailored Content Copywriting: </w:t>
      </w:r>
      <w:r>
        <w:rPr>
          <w:rFonts w:ascii="Calibri" w:hAnsi="Calibri"/>
          <w:color w:val="2D3748"/>
          <w:sz w:val="22"/>
        </w:rPr>
        <w:t>Instead of broad monthly newsletters, generative models draft custom appeal updates. For instance, a donor who supported education receives an update highlighting specific village classrooms, while an environmental advocate receives reports on carbon offsets and forest sapling growth.</w:t>
      </w:r>
    </w:p>
    <w:p>
      <w:pPr>
        <w:pStyle w:val="ListBullet"/>
        <w:spacing w:after="60" w:line="276" w:lineRule="auto"/>
      </w:pPr>
      <w:r>
        <w:rPr>
          <w:rFonts w:ascii="Calibri" w:hAnsi="Calibri"/>
          <w:b/>
          <w:color w:val="2D3748"/>
          <w:sz w:val="22"/>
        </w:rPr>
        <w:t xml:space="preserve">Actionable Deployment: </w:t>
      </w:r>
      <w:r>
        <w:rPr>
          <w:rFonts w:ascii="Calibri" w:hAnsi="Calibri"/>
          <w:color w:val="2D3748"/>
          <w:sz w:val="22"/>
        </w:rPr>
        <w:t>Utilizing tools like HubSpot AI, Mailchimp AI, or Claude API to draft email templates, which are then reviewed by InAmigos staff to ensure authentic human tone.</w:t>
      </w:r>
    </w:p>
    <w:p>
      <w:pPr>
        <w:keepNext/>
        <w:spacing w:before="280" w:after="120"/>
        <w:pBdr>
          <w:bottom w:val="single" w:sz="12" w:space="4" w:color="319795"/>
        </w:pBdr>
      </w:pPr>
      <w:r>
        <w:rPr>
          <w:rFonts w:ascii="Calibri" w:hAnsi="Calibri"/>
          <w:b/>
          <w:color w:val="1A365D"/>
          <w:sz w:val="30"/>
        </w:rPr>
        <w:t>2. Intelligent Conversational Chatbots for Volunteer Onboarding</w:t>
      </w:r>
    </w:p>
    <w:p>
      <w:pPr>
        <w:spacing w:after="120" w:line="276" w:lineRule="auto"/>
      </w:pPr>
      <w:r>
        <w:rPr>
          <w:rFonts w:ascii="Calibri" w:hAnsi="Calibri"/>
          <w:color w:val="2D3748"/>
          <w:sz w:val="22"/>
        </w:rPr>
        <w:t>Volunteer inquiries represent a significant administrative bottleneck. A delayed response can lead a passionate volunteer to lose interest. Conversational AI can bridge this response gap immediately:</w:t>
      </w:r>
    </w:p>
    <w:p>
      <w:pPr>
        <w:pStyle w:val="ListBullet"/>
        <w:spacing w:after="60" w:line="276" w:lineRule="auto"/>
      </w:pPr>
      <w:r>
        <w:rPr>
          <w:rFonts w:ascii="Calibri" w:hAnsi="Calibri"/>
          <w:b/>
          <w:color w:val="2D3748"/>
          <w:sz w:val="22"/>
        </w:rPr>
        <w:t xml:space="preserve">Instant Response &amp; FAQs: </w:t>
      </w:r>
      <w:r>
        <w:rPr>
          <w:rFonts w:ascii="Calibri" w:hAnsi="Calibri"/>
          <w:color w:val="2D3748"/>
          <w:sz w:val="22"/>
        </w:rPr>
        <w:t>An AI-powered assistant (integrated on the InAmigos website or WhatsApp Business) interacts with potential volunteers 24/7, answering common FAQs regarding locations, commitment hours, and program requirements.</w:t>
      </w:r>
    </w:p>
    <w:p>
      <w:pPr>
        <w:pStyle w:val="ListBullet"/>
        <w:spacing w:after="60" w:line="276" w:lineRule="auto"/>
      </w:pPr>
      <w:r>
        <w:rPr>
          <w:rFonts w:ascii="Calibri" w:hAnsi="Calibri"/>
          <w:b/>
          <w:color w:val="2D3748"/>
          <w:sz w:val="22"/>
        </w:rPr>
        <w:t xml:space="preserve">Automated Screening &amp; Intake: </w:t>
      </w:r>
      <w:r>
        <w:rPr>
          <w:rFonts w:ascii="Calibri" w:hAnsi="Calibri"/>
          <w:color w:val="2D3748"/>
          <w:sz w:val="22"/>
        </w:rPr>
        <w:t>The bot leads applicants through a simple screening workflow—asking for their background, skills (e.g., teaching, graphic design, field coordination), and availability, and automatically updates the NGO's coordination sheet.</w:t>
      </w:r>
    </w:p>
    <w:p>
      <w:pPr>
        <w:pStyle w:val="ListBullet"/>
        <w:spacing w:after="60" w:line="276" w:lineRule="auto"/>
      </w:pPr>
      <w:r>
        <w:rPr>
          <w:rFonts w:ascii="Calibri" w:hAnsi="Calibri"/>
          <w:b/>
          <w:color w:val="2D3748"/>
          <w:sz w:val="22"/>
        </w:rPr>
        <w:t xml:space="preserve">Actionable Deployment: </w:t>
      </w:r>
      <w:r>
        <w:rPr>
          <w:rFonts w:ascii="Calibri" w:hAnsi="Calibri"/>
          <w:color w:val="2D3748"/>
          <w:sz w:val="22"/>
        </w:rPr>
        <w:t>Setting up Dialogflow, Landbot, or a custom WhatsApp integration linked to an OpenAI assistant. This ensures prospective helpers are immediately engaged within seconds of expressing interest.</w:t>
      </w:r>
    </w:p>
    <w:p>
      <w:r>
        <w:br w:type="page"/>
      </w:r>
    </w:p>
    <w:p>
      <w:pPr>
        <w:keepNext/>
        <w:spacing w:before="240" w:after="120"/>
        <w:pBdr>
          <w:bottom w:val="single" w:sz="12" w:space="4" w:color="319795"/>
        </w:pBdr>
      </w:pPr>
      <w:r>
        <w:rPr>
          <w:rFonts w:ascii="Calibri" w:hAnsi="Calibri"/>
          <w:b/>
          <w:color w:val="1A365D"/>
          <w:sz w:val="30"/>
        </w:rPr>
        <w:t>3. AI-Powered Social Media Content &amp; Brand Presence</w:t>
      </w:r>
    </w:p>
    <w:p>
      <w:pPr>
        <w:spacing w:after="120" w:line="276" w:lineRule="auto"/>
      </w:pPr>
      <w:r>
        <w:rPr>
          <w:rFonts w:ascii="Calibri" w:hAnsi="Calibri"/>
          <w:color w:val="2D3748"/>
          <w:sz w:val="22"/>
        </w:rPr>
        <w:t>A strong, active online presence is crucial for establishing credibility. Generative AI tools allow small communication teams to maintain a high-quality, high-frequency posting schedule across LinkedIn, Instagram, and YouTube:</w:t>
      </w:r>
    </w:p>
    <w:p>
      <w:pPr>
        <w:pStyle w:val="ListBullet"/>
        <w:spacing w:after="60" w:line="276" w:lineRule="auto"/>
      </w:pPr>
      <w:r>
        <w:rPr>
          <w:rFonts w:ascii="Calibri" w:hAnsi="Calibri"/>
          <w:b/>
          <w:color w:val="2D3748"/>
          <w:sz w:val="22"/>
        </w:rPr>
        <w:t xml:space="preserve">Multi-Format Copy Generation: </w:t>
      </w:r>
      <w:r>
        <w:rPr>
          <w:rFonts w:ascii="Calibri" w:hAnsi="Calibri"/>
          <w:color w:val="2D3748"/>
          <w:sz w:val="22"/>
        </w:rPr>
        <w:t>AI writing assistants analyze raw notes, field photographs, and speech outlines from InAmigos NGO projects to generate polished LinkedIn posts, caption copy, and educational summaries.</w:t>
      </w:r>
    </w:p>
    <w:p>
      <w:pPr>
        <w:pStyle w:val="ListBullet"/>
        <w:spacing w:after="60" w:line="276" w:lineRule="auto"/>
      </w:pPr>
      <w:r>
        <w:rPr>
          <w:rFonts w:ascii="Calibri" w:hAnsi="Calibri"/>
          <w:b/>
          <w:color w:val="2D3748"/>
          <w:sz w:val="22"/>
        </w:rPr>
        <w:t xml:space="preserve">Micro-Video Scripting: </w:t>
      </w:r>
      <w:r>
        <w:rPr>
          <w:rFonts w:ascii="Calibri" w:hAnsi="Calibri"/>
          <w:color w:val="2D3748"/>
          <w:sz w:val="22"/>
        </w:rPr>
        <w:t>Using generative video scripts and outlines to script engaging Instagram Reels or YouTube Shorts. Generative tools can automatically add dynamic captions, match background royalty-free audio, and highlight engaging key moments.</w:t>
      </w:r>
    </w:p>
    <w:p>
      <w:pPr>
        <w:pStyle w:val="ListBullet"/>
        <w:spacing w:after="60" w:line="276" w:lineRule="auto"/>
      </w:pPr>
      <w:r>
        <w:rPr>
          <w:rFonts w:ascii="Calibri" w:hAnsi="Calibri"/>
          <w:b/>
          <w:color w:val="2D3748"/>
          <w:sz w:val="22"/>
        </w:rPr>
        <w:t xml:space="preserve">Actionable Deployment: </w:t>
      </w:r>
      <w:r>
        <w:rPr>
          <w:rFonts w:ascii="Calibri" w:hAnsi="Calibri"/>
          <w:color w:val="2D3748"/>
          <w:sz w:val="22"/>
        </w:rPr>
        <w:t>Leveraging Canva Magic Write, ChatGPT, and CapCut AI for graphic layouts and script brainstorming; utilizing Buffer AI to schedule posts at peak engagement times.</w:t>
      </w:r>
    </w:p>
    <w:p>
      <w:pPr>
        <w:keepNext/>
        <w:spacing w:before="280" w:after="120"/>
        <w:pBdr>
          <w:bottom w:val="single" w:sz="12" w:space="4" w:color="319795"/>
        </w:pBdr>
      </w:pPr>
      <w:r>
        <w:rPr>
          <w:rFonts w:ascii="Calibri" w:hAnsi="Calibri"/>
          <w:b/>
          <w:color w:val="1A365D"/>
          <w:sz w:val="30"/>
        </w:rPr>
        <w:t>4. Predictive Churn Modeling &amp; Retention Campaigns</w:t>
      </w:r>
    </w:p>
    <w:p>
      <w:pPr>
        <w:spacing w:after="120" w:line="276" w:lineRule="auto"/>
      </w:pPr>
      <w:r>
        <w:rPr>
          <w:rFonts w:ascii="Calibri" w:hAnsi="Calibri"/>
          <w:color w:val="2D3748"/>
          <w:sz w:val="22"/>
        </w:rPr>
        <w:t>Acquiring new donors is far more expensive than retaining existing ones. Predictive machine learning allows NGOs to identify 'at-risk' donors before they cancel their subscriptions or cease giving:</w:t>
      </w:r>
    </w:p>
    <w:p>
      <w:pPr>
        <w:pStyle w:val="ListBullet"/>
        <w:spacing w:after="60" w:line="276" w:lineRule="auto"/>
      </w:pPr>
      <w:r>
        <w:rPr>
          <w:rFonts w:ascii="Calibri" w:hAnsi="Calibri"/>
          <w:b/>
          <w:color w:val="2D3748"/>
          <w:sz w:val="22"/>
        </w:rPr>
        <w:t xml:space="preserve">Risk Profiling: </w:t>
      </w:r>
      <w:r>
        <w:rPr>
          <w:rFonts w:ascii="Calibri" w:hAnsi="Calibri"/>
          <w:color w:val="2D3748"/>
          <w:sz w:val="22"/>
        </w:rPr>
        <w:t>By analyzing simple variables like newsletter open rates, skipped monthly contributions, or a lack of attendance at recent events, predictive algorithms flag donors exhibiting warning behaviors.</w:t>
      </w:r>
    </w:p>
    <w:p>
      <w:pPr>
        <w:pStyle w:val="ListBullet"/>
        <w:spacing w:after="60" w:line="276" w:lineRule="auto"/>
      </w:pPr>
      <w:r>
        <w:rPr>
          <w:rFonts w:ascii="Calibri" w:hAnsi="Calibri"/>
          <w:b/>
          <w:color w:val="2D3748"/>
          <w:sz w:val="22"/>
        </w:rPr>
        <w:t xml:space="preserve">Targeted Human Intervention: </w:t>
      </w:r>
      <w:r>
        <w:rPr>
          <w:rFonts w:ascii="Calibri" w:hAnsi="Calibri"/>
          <w:color w:val="2D3748"/>
          <w:sz w:val="22"/>
        </w:rPr>
        <w:t>Once a donor is flagged with a high 'churn score,' the system alerts the fundraising team. Staff can intervene specifically with a personalized phone call, a hand-written thank-you card, or a customized impact report.</w:t>
      </w:r>
    </w:p>
    <w:p>
      <w:pPr>
        <w:pStyle w:val="ListBullet"/>
        <w:spacing w:after="60" w:line="276" w:lineRule="auto"/>
      </w:pPr>
      <w:r>
        <w:rPr>
          <w:rFonts w:ascii="Calibri" w:hAnsi="Calibri"/>
          <w:b/>
          <w:color w:val="2D3748"/>
          <w:sz w:val="22"/>
        </w:rPr>
        <w:t xml:space="preserve">Actionable Deployment: </w:t>
      </w:r>
      <w:r>
        <w:rPr>
          <w:rFonts w:ascii="Calibri" w:hAnsi="Calibri"/>
          <w:color w:val="2D3748"/>
          <w:sz w:val="22"/>
        </w:rPr>
        <w:t>Employing Dataro Predict or building a lightweight Python script using pandas and scikit-learn to analyze existing donor Excel sheets or CRM databases.</w:t>
      </w:r>
    </w:p>
    <w:p>
      <w:pPr>
        <w:keepNext/>
        <w:spacing w:before="280" w:after="120"/>
        <w:pBdr>
          <w:bottom w:val="single" w:sz="12" w:space="4" w:color="319795"/>
        </w:pBdr>
      </w:pPr>
      <w:r>
        <w:rPr>
          <w:rFonts w:ascii="Calibri" w:hAnsi="Calibri"/>
          <w:b/>
          <w:color w:val="1A365D"/>
          <w:sz w:val="30"/>
        </w:rPr>
        <w:t>5. AI-Assisted Corporate Sponsorship &amp; CSR Proposal Drafting</w:t>
      </w:r>
    </w:p>
    <w:p>
      <w:pPr>
        <w:spacing w:after="120" w:line="276" w:lineRule="auto"/>
      </w:pPr>
      <w:r>
        <w:rPr>
          <w:rFonts w:ascii="Calibri" w:hAnsi="Calibri"/>
          <w:color w:val="2D3748"/>
          <w:sz w:val="22"/>
        </w:rPr>
        <w:t>NGO growth is often limited by the time spent seeking grants. Corporate Social Responsibility (CSR) proposals require rigorous formatting, statistical evidence, and alignment with corporate guidelines:</w:t>
      </w:r>
    </w:p>
    <w:p>
      <w:pPr>
        <w:pStyle w:val="ListBullet"/>
        <w:spacing w:after="60" w:line="276" w:lineRule="auto"/>
      </w:pPr>
      <w:r>
        <w:rPr>
          <w:rFonts w:ascii="Calibri" w:hAnsi="Calibri"/>
          <w:b/>
          <w:color w:val="2D3748"/>
          <w:sz w:val="22"/>
        </w:rPr>
        <w:t xml:space="preserve">Intelligent Drafting Support: </w:t>
      </w:r>
      <w:r>
        <w:rPr>
          <w:rFonts w:ascii="Calibri" w:hAnsi="Calibri"/>
          <w:color w:val="2D3748"/>
          <w:sz w:val="22"/>
        </w:rPr>
        <w:t>Generative AI models serve as highly-capable drafting assistants. By loading the model with historical successful proposals, annual reports, and local impact metrics, the AI can draft structured, professional proposals tailored to corporate sponsors.</w:t>
      </w:r>
    </w:p>
    <w:p>
      <w:pPr>
        <w:pStyle w:val="ListBullet"/>
        <w:spacing w:after="60" w:line="276" w:lineRule="auto"/>
      </w:pPr>
      <w:r>
        <w:rPr>
          <w:rFonts w:ascii="Calibri" w:hAnsi="Calibri"/>
          <w:b/>
          <w:color w:val="2D3748"/>
          <w:sz w:val="22"/>
        </w:rPr>
        <w:t xml:space="preserve">Formatting &amp; Adaptation: </w:t>
      </w:r>
      <w:r>
        <w:rPr>
          <w:rFonts w:ascii="Calibri" w:hAnsi="Calibri"/>
          <w:color w:val="2D3748"/>
          <w:sz w:val="22"/>
        </w:rPr>
        <w:t>AI can quickly format and adjust proposals to match different structures (e.g., modifying a 10-page detailed grant request into a 1-page corporate pitch deck summary), ensuring compliance with varying corporate guidelines.</w:t>
      </w:r>
    </w:p>
    <w:p>
      <w:pPr>
        <w:pStyle w:val="ListBullet"/>
        <w:spacing w:after="60" w:line="276" w:lineRule="auto"/>
      </w:pPr>
      <w:r>
        <w:rPr>
          <w:rFonts w:ascii="Calibri" w:hAnsi="Calibri"/>
          <w:b/>
          <w:color w:val="2D3748"/>
          <w:sz w:val="22"/>
        </w:rPr>
        <w:t xml:space="preserve">Actionable Deployment: </w:t>
      </w:r>
      <w:r>
        <w:rPr>
          <w:rFonts w:ascii="Calibri" w:hAnsi="Calibri"/>
          <w:color w:val="2D3748"/>
          <w:sz w:val="22"/>
        </w:rPr>
        <w:t>Developing a custom Claude or ChatGPT Project workspace loaded with past proposal PDF templates, allowing staff to brainstorm pitches and outline drafts in minutes.</w:t>
      </w:r>
    </w:p>
    <w:p>
      <w:pPr>
        <w:keepNext/>
        <w:spacing w:before="360" w:after="120"/>
        <w:pBdr>
          <w:bottom w:val="single" w:sz="12" w:space="4" w:color="319795"/>
        </w:pBdr>
      </w:pPr>
      <w:r>
        <w:rPr>
          <w:rFonts w:ascii="Calibri" w:hAnsi="Calibri"/>
          <w:b/>
          <w:color w:val="1A365D"/>
          <w:sz w:val="30"/>
        </w:rPr>
        <w:t>Strategic Implementation &amp; Metrics Comparison</w:t>
      </w:r>
    </w:p>
    <w:p>
      <w:pPr>
        <w:spacing w:after="120" w:line="276" w:lineRule="auto"/>
      </w:pPr>
      <w:r>
        <w:rPr>
          <w:rFonts w:ascii="Calibri" w:hAnsi="Calibri"/>
          <w:color w:val="2D3748"/>
          <w:sz w:val="22"/>
        </w:rPr>
        <w:t>To help InAmigos Foundation plan its implementation, this comparison table outlines the primary focus, primary tools, required effort, and expected metrics for each of the 5 strategies: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A365D"/>
          </w:tcPr>
          <w:p>
            <w:pPr>
              <w:jc w:val="left"/>
            </w:pPr>
            <w:r>
              <w:rPr>
                <w:rFonts w:ascii="Calibri" w:hAnsi="Calibri"/>
                <w:b/>
                <w:color w:val="FFFFFF"/>
                <w:sz w:val="19"/>
              </w:rPr>
              <w:t>Strategy</w:t>
            </w:r>
          </w:p>
        </w:tc>
        <w:tc>
          <w:tcPr>
            <w:tcW w:type="dxa" w:w="1872"/>
            <w:shd w:fill="1A365D"/>
          </w:tcPr>
          <w:p>
            <w:pPr>
              <w:jc w:val="left"/>
            </w:pPr>
            <w:r>
              <w:rPr>
                <w:rFonts w:ascii="Calibri" w:hAnsi="Calibri"/>
                <w:b/>
                <w:color w:val="FFFFFF"/>
                <w:sz w:val="19"/>
              </w:rPr>
              <w:t>Focus Area</w:t>
            </w:r>
          </w:p>
        </w:tc>
        <w:tc>
          <w:tcPr>
            <w:tcW w:type="dxa" w:w="2592"/>
            <w:shd w:fill="1A365D"/>
          </w:tcPr>
          <w:p>
            <w:pPr>
              <w:jc w:val="left"/>
            </w:pPr>
            <w:r>
              <w:rPr>
                <w:rFonts w:ascii="Calibri" w:hAnsi="Calibri"/>
                <w:b/>
                <w:color w:val="FFFFFF"/>
                <w:sz w:val="19"/>
              </w:rPr>
              <w:t>Recommended AI Tools</w:t>
            </w:r>
          </w:p>
        </w:tc>
        <w:tc>
          <w:tcPr>
            <w:tcW w:type="dxa" w:w="2304"/>
            <w:shd w:fill="1A365D"/>
          </w:tcPr>
          <w:p>
            <w:pPr>
              <w:jc w:val="left"/>
            </w:pPr>
            <w:r>
              <w:rPr>
                <w:rFonts w:ascii="Calibri" w:hAnsi="Calibri"/>
                <w:b/>
                <w:color w:val="FFFFFF"/>
                <w:sz w:val="19"/>
              </w:rPr>
              <w:t>Difficulty &amp; Impact</w:t>
            </w:r>
          </w:p>
        </w:tc>
      </w:tr>
      <w:tr>
        <w:tc>
          <w:tcPr>
            <w:tcW w:type="dxa" w:w="2592"/>
            <w:shd w:fill="F7FAFC"/>
            <w:tcBorders>
              <w:bottom w:val="single" w:sz="4" w:space="0" w:color="E2E8F0"/>
            </w:tcBorders>
          </w:tcPr>
          <w:p>
            <w:pPr>
              <w:spacing w:before="80" w:after="80"/>
            </w:pPr>
            <w:r>
              <w:rPr>
                <w:rFonts w:ascii="Calibri" w:hAnsi="Calibri"/>
                <w:color w:val="2D3748"/>
                <w:sz w:val="18"/>
              </w:rPr>
              <w:t>Hyper-Personalized Communication</w:t>
            </w:r>
          </w:p>
        </w:tc>
        <w:tc>
          <w:tcPr>
            <w:tcW w:type="dxa" w:w="1872"/>
            <w:shd w:fill="F7FAFC"/>
            <w:tcBorders>
              <w:bottom w:val="single" w:sz="4" w:space="0" w:color="E2E8F0"/>
            </w:tcBorders>
          </w:tcPr>
          <w:p>
            <w:pPr>
              <w:spacing w:before="80" w:after="80"/>
            </w:pPr>
            <w:r>
              <w:rPr>
                <w:rFonts w:ascii="Calibri" w:hAnsi="Calibri"/>
                <w:color w:val="2D3748"/>
                <w:sz w:val="18"/>
              </w:rPr>
              <w:t>Fundraising &amp; Outreach</w:t>
            </w:r>
          </w:p>
        </w:tc>
        <w:tc>
          <w:tcPr>
            <w:tcW w:type="dxa" w:w="2592"/>
            <w:shd w:fill="F7FAFC"/>
            <w:tcBorders>
              <w:bottom w:val="single" w:sz="4" w:space="0" w:color="E2E8F0"/>
            </w:tcBorders>
          </w:tcPr>
          <w:p>
            <w:pPr>
              <w:spacing w:before="80" w:after="80"/>
            </w:pPr>
            <w:r>
              <w:rPr>
                <w:rFonts w:ascii="Calibri" w:hAnsi="Calibri"/>
                <w:color w:val="2D3748"/>
                <w:sz w:val="18"/>
              </w:rPr>
              <w:t>HubSpot AI, Mailchimp, Claude API</w:t>
            </w:r>
          </w:p>
        </w:tc>
        <w:tc>
          <w:tcPr>
            <w:tcW w:type="dxa" w:w="2304"/>
            <w:shd w:fill="F7FAFC"/>
            <w:tcBorders>
              <w:bottom w:val="single" w:sz="4" w:space="0" w:color="E2E8F0"/>
            </w:tcBorders>
          </w:tcPr>
          <w:p>
            <w:pPr>
              <w:spacing w:before="80" w:after="80"/>
            </w:pPr>
            <w:r>
              <w:rPr>
                <w:rFonts w:ascii="Calibri" w:hAnsi="Calibri"/>
                <w:color w:val="2D3748"/>
                <w:sz w:val="18"/>
              </w:rPr>
              <w:t>Low Effort | High Impact</w:t>
            </w:r>
          </w:p>
        </w:tc>
      </w:tr>
      <w:tr>
        <w:tc>
          <w:tcPr>
            <w:tcW w:type="dxa" w:w="2592"/>
            <w:shd w:fill="FFFFFF"/>
            <w:tcBorders>
              <w:bottom w:val="single" w:sz="4" w:space="0" w:color="E2E8F0"/>
            </w:tcBorders>
          </w:tcPr>
          <w:p>
            <w:pPr>
              <w:spacing w:before="80" w:after="80"/>
            </w:pPr>
            <w:r>
              <w:rPr>
                <w:rFonts w:ascii="Calibri" w:hAnsi="Calibri"/>
                <w:color w:val="2D3748"/>
                <w:sz w:val="18"/>
              </w:rPr>
              <w:t>Conversational AI Chatbots</w:t>
            </w:r>
          </w:p>
        </w:tc>
        <w:tc>
          <w:tcPr>
            <w:tcW w:type="dxa" w:w="1872"/>
            <w:shd w:fill="FFFFFF"/>
            <w:tcBorders>
              <w:bottom w:val="single" w:sz="4" w:space="0" w:color="E2E8F0"/>
            </w:tcBorders>
          </w:tcPr>
          <w:p>
            <w:pPr>
              <w:spacing w:before="80" w:after="80"/>
            </w:pPr>
            <w:r>
              <w:rPr>
                <w:rFonts w:ascii="Calibri" w:hAnsi="Calibri"/>
                <w:color w:val="2D3748"/>
                <w:sz w:val="18"/>
              </w:rPr>
              <w:t>Volunteer Engagement</w:t>
            </w:r>
          </w:p>
        </w:tc>
        <w:tc>
          <w:tcPr>
            <w:tcW w:type="dxa" w:w="2592"/>
            <w:shd w:fill="FFFFFF"/>
            <w:tcBorders>
              <w:bottom w:val="single" w:sz="4" w:space="0" w:color="E2E8F0"/>
            </w:tcBorders>
          </w:tcPr>
          <w:p>
            <w:pPr>
              <w:spacing w:before="80" w:after="80"/>
            </w:pPr>
            <w:r>
              <w:rPr>
                <w:rFonts w:ascii="Calibri" w:hAnsi="Calibri"/>
                <w:color w:val="2D3748"/>
                <w:sz w:val="18"/>
              </w:rPr>
              <w:t>Dialogflow, Landbot, OpenAI API</w:t>
            </w:r>
          </w:p>
        </w:tc>
        <w:tc>
          <w:tcPr>
            <w:tcW w:type="dxa" w:w="2304"/>
            <w:shd w:fill="FFFFFF"/>
            <w:tcBorders>
              <w:bottom w:val="single" w:sz="4" w:space="0" w:color="E2E8F0"/>
            </w:tcBorders>
          </w:tcPr>
          <w:p>
            <w:pPr>
              <w:spacing w:before="80" w:after="80"/>
            </w:pPr>
            <w:r>
              <w:rPr>
                <w:rFonts w:ascii="Calibri" w:hAnsi="Calibri"/>
                <w:color w:val="2D3748"/>
                <w:sz w:val="18"/>
              </w:rPr>
              <w:t>Medium Effort | High Impact</w:t>
            </w:r>
          </w:p>
        </w:tc>
      </w:tr>
      <w:tr>
        <w:tc>
          <w:tcPr>
            <w:tcW w:type="dxa" w:w="2592"/>
            <w:shd w:fill="F7FAFC"/>
            <w:tcBorders>
              <w:bottom w:val="single" w:sz="4" w:space="0" w:color="E2E8F0"/>
            </w:tcBorders>
          </w:tcPr>
          <w:p>
            <w:pPr>
              <w:spacing w:before="80" w:after="80"/>
            </w:pPr>
            <w:r>
              <w:rPr>
                <w:rFonts w:ascii="Calibri" w:hAnsi="Calibri"/>
                <w:color w:val="2D3748"/>
                <w:sz w:val="18"/>
              </w:rPr>
              <w:t>Social Media Content Automation</w:t>
            </w:r>
          </w:p>
        </w:tc>
        <w:tc>
          <w:tcPr>
            <w:tcW w:type="dxa" w:w="1872"/>
            <w:shd w:fill="F7FAFC"/>
            <w:tcBorders>
              <w:bottom w:val="single" w:sz="4" w:space="0" w:color="E2E8F0"/>
            </w:tcBorders>
          </w:tcPr>
          <w:p>
            <w:pPr>
              <w:spacing w:before="80" w:after="80"/>
            </w:pPr>
            <w:r>
              <w:rPr>
                <w:rFonts w:ascii="Calibri" w:hAnsi="Calibri"/>
                <w:color w:val="2D3748"/>
                <w:sz w:val="18"/>
              </w:rPr>
              <w:t>Online Brand Presence</w:t>
            </w:r>
          </w:p>
        </w:tc>
        <w:tc>
          <w:tcPr>
            <w:tcW w:type="dxa" w:w="2592"/>
            <w:shd w:fill="F7FAFC"/>
            <w:tcBorders>
              <w:bottom w:val="single" w:sz="4" w:space="0" w:color="E2E8F0"/>
            </w:tcBorders>
          </w:tcPr>
          <w:p>
            <w:pPr>
              <w:spacing w:before="80" w:after="80"/>
            </w:pPr>
            <w:r>
              <w:rPr>
                <w:rFonts w:ascii="Calibri" w:hAnsi="Calibri"/>
                <w:color w:val="2D3748"/>
                <w:sz w:val="18"/>
              </w:rPr>
              <w:t>Canva Magic Write, CapCut, Buffer</w:t>
            </w:r>
          </w:p>
        </w:tc>
        <w:tc>
          <w:tcPr>
            <w:tcW w:type="dxa" w:w="2304"/>
            <w:shd w:fill="F7FAFC"/>
            <w:tcBorders>
              <w:bottom w:val="single" w:sz="4" w:space="0" w:color="E2E8F0"/>
            </w:tcBorders>
          </w:tcPr>
          <w:p>
            <w:pPr>
              <w:spacing w:before="80" w:after="80"/>
            </w:pPr>
            <w:r>
              <w:rPr>
                <w:rFonts w:ascii="Calibri" w:hAnsi="Calibri"/>
                <w:color w:val="2D3748"/>
                <w:sz w:val="18"/>
              </w:rPr>
              <w:t>Low Effort | Medium Impact</w:t>
            </w:r>
          </w:p>
        </w:tc>
      </w:tr>
      <w:tr>
        <w:tc>
          <w:tcPr>
            <w:tcW w:type="dxa" w:w="2592"/>
            <w:shd w:fill="FFFFFF"/>
            <w:tcBorders>
              <w:bottom w:val="single" w:sz="4" w:space="0" w:color="E2E8F0"/>
            </w:tcBorders>
          </w:tcPr>
          <w:p>
            <w:pPr>
              <w:spacing w:before="80" w:after="80"/>
            </w:pPr>
            <w:r>
              <w:rPr>
                <w:rFonts w:ascii="Calibri" w:hAnsi="Calibri"/>
                <w:color w:val="2D3748"/>
                <w:sz w:val="18"/>
              </w:rPr>
              <w:t>Predictive Donor Churn Modeling</w:t>
            </w:r>
          </w:p>
        </w:tc>
        <w:tc>
          <w:tcPr>
            <w:tcW w:type="dxa" w:w="1872"/>
            <w:shd w:fill="FFFFFF"/>
            <w:tcBorders>
              <w:bottom w:val="single" w:sz="4" w:space="0" w:color="E2E8F0"/>
            </w:tcBorders>
          </w:tcPr>
          <w:p>
            <w:pPr>
              <w:spacing w:before="80" w:after="80"/>
            </w:pPr>
            <w:r>
              <w:rPr>
                <w:rFonts w:ascii="Calibri" w:hAnsi="Calibri"/>
                <w:color w:val="2D3748"/>
                <w:sz w:val="18"/>
              </w:rPr>
              <w:t>Fundraising &amp; Retention</w:t>
            </w:r>
          </w:p>
        </w:tc>
        <w:tc>
          <w:tcPr>
            <w:tcW w:type="dxa" w:w="2592"/>
            <w:shd w:fill="FFFFFF"/>
            <w:tcBorders>
              <w:bottom w:val="single" w:sz="4" w:space="0" w:color="E2E8F0"/>
            </w:tcBorders>
          </w:tcPr>
          <w:p>
            <w:pPr>
              <w:spacing w:before="80" w:after="80"/>
            </w:pPr>
            <w:r>
              <w:rPr>
                <w:rFonts w:ascii="Calibri" w:hAnsi="Calibri"/>
                <w:color w:val="2D3748"/>
                <w:sz w:val="18"/>
              </w:rPr>
              <w:t>Dataro Predict, Python scripts</w:t>
            </w:r>
          </w:p>
        </w:tc>
        <w:tc>
          <w:tcPr>
            <w:tcW w:type="dxa" w:w="2304"/>
            <w:shd w:fill="FFFFFF"/>
            <w:tcBorders>
              <w:bottom w:val="single" w:sz="4" w:space="0" w:color="E2E8F0"/>
            </w:tcBorders>
          </w:tcPr>
          <w:p>
            <w:pPr>
              <w:spacing w:before="80" w:after="80"/>
            </w:pPr>
            <w:r>
              <w:rPr>
                <w:rFonts w:ascii="Calibri" w:hAnsi="Calibri"/>
                <w:color w:val="2D3748"/>
                <w:sz w:val="18"/>
              </w:rPr>
              <w:t>Medium Effort | High Impact</w:t>
            </w:r>
          </w:p>
        </w:tc>
      </w:tr>
      <w:tr>
        <w:tc>
          <w:tcPr>
            <w:tcW w:type="dxa" w:w="2592"/>
            <w:shd w:fill="F7FAFC"/>
            <w:tcBorders>
              <w:bottom w:val="single" w:sz="4" w:space="0" w:color="E2E8F0"/>
            </w:tcBorders>
          </w:tcPr>
          <w:p>
            <w:pPr>
              <w:spacing w:before="80" w:after="80"/>
            </w:pPr>
            <w:r>
              <w:rPr>
                <w:rFonts w:ascii="Calibri" w:hAnsi="Calibri"/>
                <w:color w:val="2D3748"/>
                <w:sz w:val="18"/>
              </w:rPr>
              <w:t>AI CSR Proposal Drafting</w:t>
            </w:r>
          </w:p>
        </w:tc>
        <w:tc>
          <w:tcPr>
            <w:tcW w:type="dxa" w:w="1872"/>
            <w:shd w:fill="F7FAFC"/>
            <w:tcBorders>
              <w:bottom w:val="single" w:sz="4" w:space="0" w:color="E2E8F0"/>
            </w:tcBorders>
          </w:tcPr>
          <w:p>
            <w:pPr>
              <w:spacing w:before="80" w:after="80"/>
            </w:pPr>
            <w:r>
              <w:rPr>
                <w:rFonts w:ascii="Calibri" w:hAnsi="Calibri"/>
                <w:color w:val="2D3748"/>
                <w:sz w:val="18"/>
              </w:rPr>
              <w:t>Grant Acquisitions</w:t>
            </w:r>
          </w:p>
        </w:tc>
        <w:tc>
          <w:tcPr>
            <w:tcW w:type="dxa" w:w="2592"/>
            <w:shd w:fill="F7FAFC"/>
            <w:tcBorders>
              <w:bottom w:val="single" w:sz="4" w:space="0" w:color="E2E8F0"/>
            </w:tcBorders>
          </w:tcPr>
          <w:p>
            <w:pPr>
              <w:spacing w:before="80" w:after="80"/>
            </w:pPr>
            <w:r>
              <w:rPr>
                <w:rFonts w:ascii="Calibri" w:hAnsi="Calibri"/>
                <w:color w:val="2D3748"/>
                <w:sz w:val="18"/>
              </w:rPr>
              <w:t>Claude Projects, Custom GPTs</w:t>
            </w:r>
          </w:p>
        </w:tc>
        <w:tc>
          <w:tcPr>
            <w:tcW w:type="dxa" w:w="2304"/>
            <w:shd w:fill="F7FAFC"/>
            <w:tcBorders>
              <w:bottom w:val="single" w:sz="4" w:space="0" w:color="E2E8F0"/>
            </w:tcBorders>
          </w:tcPr>
          <w:p>
            <w:pPr>
              <w:spacing w:before="80" w:after="80"/>
            </w:pPr>
            <w:r>
              <w:rPr>
                <w:rFonts w:ascii="Calibri" w:hAnsi="Calibri"/>
                <w:color w:val="2D3748"/>
                <w:sz w:val="18"/>
              </w:rPr>
              <w:t>Low Effort | High Impact</w:t>
            </w:r>
          </w:p>
        </w:tc>
      </w:tr>
    </w:tbl>
    <w:p>
      <w:pPr>
        <w:spacing w:after="240"/>
      </w:pPr>
    </w:p>
    <w:p>
      <w:pPr>
        <w:keepNext/>
        <w:spacing w:before="240" w:after="120"/>
        <w:pBdr>
          <w:bottom w:val="single" w:sz="12" w:space="4" w:color="319795"/>
        </w:pBdr>
      </w:pPr>
      <w:r>
        <w:rPr>
          <w:rFonts w:ascii="Calibri" w:hAnsi="Calibri"/>
          <w:b/>
          <w:color w:val="1A365D"/>
          <w:sz w:val="30"/>
        </w:rPr>
        <w:t>Conclusion &amp; Immediate Next Steps</w:t>
      </w:r>
    </w:p>
    <w:p>
      <w:pPr>
        <w:spacing w:after="120" w:line="276" w:lineRule="auto"/>
      </w:pPr>
      <w:r>
        <w:rPr>
          <w:rFonts w:ascii="Calibri" w:hAnsi="Calibri"/>
          <w:color w:val="2D3748"/>
          <w:sz w:val="22"/>
        </w:rPr>
        <w:t>Implementing AI in InAmigos Foundation's operations does not require massive capital investments. The foundation can adopt a phased transition starting with the lowest-effort, highest-impact strategies:</w:t>
      </w:r>
    </w:p>
    <w:p>
      <w:pPr>
        <w:pStyle w:val="ListBullet"/>
        <w:spacing w:after="60" w:line="276" w:lineRule="auto"/>
      </w:pPr>
      <w:r>
        <w:rPr>
          <w:rFonts w:ascii="Calibri" w:hAnsi="Calibri"/>
          <w:b/>
          <w:color w:val="2D3748"/>
          <w:sz w:val="22"/>
        </w:rPr>
        <w:t xml:space="preserve">Phase 1 (Week 1): </w:t>
      </w:r>
      <w:r>
        <w:rPr>
          <w:rFonts w:ascii="Calibri" w:hAnsi="Calibri"/>
          <w:color w:val="2D3748"/>
          <w:sz w:val="22"/>
        </w:rPr>
        <w:t>Establish an AI copywriting sandbox utilizing Claude Projects or ChatGPT, loaded with InAmigos brochures, history, and successful templates, to draft volunteer newsletters and LinkedIn posts immediately.</w:t>
      </w:r>
    </w:p>
    <w:p>
      <w:pPr>
        <w:pStyle w:val="ListBullet"/>
        <w:spacing w:after="60" w:line="276" w:lineRule="auto"/>
      </w:pPr>
      <w:r>
        <w:rPr>
          <w:rFonts w:ascii="Calibri" w:hAnsi="Calibri"/>
          <w:b/>
          <w:color w:val="2D3748"/>
          <w:sz w:val="22"/>
        </w:rPr>
        <w:t xml:space="preserve">Phase 2 (Month 1): </w:t>
      </w:r>
      <w:r>
        <w:rPr>
          <w:rFonts w:ascii="Calibri" w:hAnsi="Calibri"/>
          <w:color w:val="2D3748"/>
          <w:sz w:val="22"/>
        </w:rPr>
        <w:t>Design and launch a simple, rules-based chatbot via Landbot or WhatsApp Business to answer basic volunteer registration FAQs, gradually upgrading it to a conversational AI model as database query volumes grow.</w:t>
      </w:r>
    </w:p>
    <w:p>
      <w:pPr>
        <w:pStyle w:val="ListBullet"/>
        <w:spacing w:after="60" w:line="276" w:lineRule="auto"/>
      </w:pPr>
      <w:r>
        <w:rPr>
          <w:rFonts w:ascii="Calibri" w:hAnsi="Calibri"/>
          <w:b/>
          <w:color w:val="2D3748"/>
          <w:sz w:val="22"/>
        </w:rPr>
        <w:t xml:space="preserve">Phase 3 (Month 2): </w:t>
      </w:r>
      <w:r>
        <w:rPr>
          <w:rFonts w:ascii="Calibri" w:hAnsi="Calibri"/>
          <w:color w:val="2D3748"/>
          <w:sz w:val="22"/>
        </w:rPr>
        <w:t>Perform a quality audit of the active CRM/donor Excel database. Ensure fields are clean and uniform (e.g., separate columns for donation dates, project category, and donation size) to prepare for future predictive donor models.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40"/>
      <w:jc w:val="right"/>
    </w:pPr>
    <w:r>
      <w:rPr>
        <w:rFonts w:ascii="Calibri" w:hAnsi="Calibri"/>
        <w:color w:val="4A5568"/>
        <w:sz w:val="17"/>
      </w:rPr>
      <w:t xml:space="preserve">InAmigos Foundation | AI Insights for NGO Growth (2026)  —  Page </w:t>
    </w:r>
    <w:fldChar w:fldCharType="begin"/>
    <w:instrText xml:space="preserve"> PAGE </w:instrText>
    <w:fldChar w:fldCharType="separate"/>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