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0536B"/>
          <w:sz w:val="24"/>
        </w:rPr>
        <w:t>DATABASE MANAGEMENT SYSTEMS</w:t>
      </w:r>
    </w:p>
    <w:p/>
    <w:p>
      <w:pPr>
        <w:jc w:val="center"/>
      </w:pPr>
      <w:r>
        <w:rPr>
          <w:b/>
          <w:color w:val="40536B"/>
          <w:sz w:val="28"/>
        </w:rPr>
        <w:t>ASSIGNMENT 4</w:t>
      </w:r>
    </w:p>
    <w:p>
      <w:pPr>
        <w:jc w:val="center"/>
      </w:pPr>
      <w:r>
        <w:rPr>
          <w:b/>
          <w:color w:val="17365D"/>
          <w:sz w:val="48"/>
        </w:rPr>
        <w:t>Relational Database vs. NoSQL Database</w:t>
      </w:r>
    </w:p>
    <w:p>
      <w:pPr>
        <w:jc w:val="center"/>
      </w:pPr>
      <w:r>
        <w:t>Project: Online Retail Sales Management System</w:t>
        <w:br/>
        <w:t>Database Platform: MySQL 8.0+</w:t>
      </w:r>
    </w:p>
    <w:p/>
    <w:p>
      <w:pPr>
        <w:jc w:val="center"/>
      </w:pPr>
      <w:r>
        <w:t>Student Name: ____________________    Class/Section: ____________________</w:t>
        <w:br/>
        <w:t>Submission Date: ____________________</w:t>
      </w:r>
    </w:p>
    <w:p>
      <w:r>
        <w:br w:type="page"/>
      </w:r>
    </w:p>
    <w:p>
      <w:pPr>
        <w:pStyle w:val="Heading1"/>
      </w:pPr>
      <w:r>
        <w:t>1. Introduction</w:t>
      </w:r>
    </w:p>
    <w:p>
      <w:r>
        <w:t>Organizations choose database technologies based on data shape, transaction requirements, growth, latency, operational expertise, and cost. Relational databases store structured data in tables connected by keys. NoSQL includes document, key-value, wide-column, and graph databases; these systems differ from one another.</w:t>
      </w:r>
    </w:p>
    <w:p>
      <w:pPr>
        <w:pStyle w:val="Heading1"/>
      </w:pPr>
      <w:r>
        <w:t>2. Comparison</w:t>
      </w:r>
    </w:p>
    <w:p>
      <w:r>
        <w:t>Relational databases use tables, explicit relationships, foreign keys, and SQL. NoSQL databases use document, key-value, wide-column, or graph models; relationships may be embedded, denormalized, or traversed with product-specific features. Relational systems commonly use vertical scaling and can also scale horizontally through replication, partitioning, or distributed SQL. Many NoSQL systems are designed for horizontal partitioning, but behavior depends on the product.</w:t>
      </w:r>
    </w:p>
    <w:p>
      <w:pPr>
        <w:pStyle w:val="Heading1"/>
      </w:pPr>
      <w:r>
        <w:t>3. Consistency and transactions</w:t>
      </w:r>
    </w:p>
    <w:p>
      <w:r>
        <w:t>ACID means Atomicity, Consistency, Isolation, and Durability. BASE is often used to describe systems that prioritize availability and eventual convergence in some distributed scenarios. These are not absolute RDBMS-versus-NoSQL rules: some NoSQL systems support ACID transactions, and distributed relational systems can also make consistency trade-offs.</w:t>
      </w:r>
    </w:p>
    <w:p>
      <w:pPr>
        <w:pStyle w:val="Heading1"/>
      </w:pPr>
      <w:r>
        <w:t>4. Performance and use cases</w:t>
      </w:r>
    </w:p>
    <w:p>
      <w:r>
        <w:t>Relational databases are strong for complex joins, integrity rules, and transactional workloads. NoSQL can be excellent when its data model matches the access pattern, such as high-volume key lookups, flexible documents, telemetry, or graph traversals. Both need appropriate schema/data modeling, indexing, and operational tuning.</w:t>
      </w:r>
    </w:p>
    <w:p>
      <w:pPr>
        <w:pStyle w:val="Heading1"/>
      </w:pPr>
      <w:r>
        <w:t>5. Real-world technology examples</w:t>
      </w:r>
    </w:p>
    <w:p>
      <w:r>
        <w:t>MySQL or PostgreSQL suits online retail orders, inventory, payments, and customer records. MongoDB can suit flexible product or content documents. Redis is often used for sessions and caching. Apache Cassandra suits some high-volume distributed event or telemetry workloads. Neo4j is designed for graph-shaped relationship queries.</w:t>
      </w:r>
    </w:p>
    <w:p>
      <w:pPr>
        <w:pStyle w:val="Heading1"/>
      </w:pPr>
      <w:r>
        <w:t>6. Recommendation for this project</w:t>
      </w:r>
    </w:p>
    <w:p>
      <w:r>
        <w:t>MySQL is appropriate for the Online Retail Sales Management System because orders, order items, customers, payments, and inventory have explicit relationships and need reliable constraints. A NoSQL database could complement it for a specific justified requirement, such as caching or flexible product metadata.</w:t>
      </w:r>
    </w:p>
    <w:p>
      <w:pPr>
        <w:pStyle w:val="Heading1"/>
      </w:pPr>
      <w:r>
        <w:t>7. Conclusion and references</w:t>
      </w:r>
    </w:p>
    <w:p>
      <w:r>
        <w:t>There is no universal winner. Choose based on requirements, access patterns, consistency needs, skills, and total cost. Further reading: MySQL Reference Manual, https://dev.mysql.com/doc/refman/8.0/en/ ; MongoDB documentation, https://www.mongodb.com/docs/ ; Redis documentation, https://redis.io/docs/ ; Apache Cassandra documentation, https://cassandra.apache.org/doc/ ; Neo4j documentation, https://neo4j.com/docs/.</w:t>
      </w:r>
    </w:p>
    <w:p>
      <w:pPr>
        <w:pStyle w:val="Heading1"/>
      </w:pPr>
      <w:r>
        <w:t>Reference table / sample outputs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24527A"/>
          </w:tcPr>
          <w:p>
            <w:pPr>
              <w:spacing w:after="40"/>
            </w:pPr>
            <w:r/>
            <w:r>
              <w:rPr>
                <w:b/>
                <w:color w:val="FFFFFF"/>
                <w:sz w:val="16"/>
              </w:rPr>
              <w:t>Aspect</w:t>
            </w:r>
          </w:p>
        </w:tc>
        <w:tc>
          <w:tcPr>
            <w:tcW w:type="dxa" w:w="3360"/>
            <w:vAlign w:val="center"/>
            <w:shd w:fill="24527A"/>
          </w:tcPr>
          <w:p>
            <w:pPr>
              <w:spacing w:after="40"/>
            </w:pPr>
            <w:r/>
            <w:r>
              <w:rPr>
                <w:b/>
                <w:color w:val="FFFFFF"/>
                <w:sz w:val="16"/>
              </w:rPr>
              <w:t>Relational database</w:t>
            </w:r>
          </w:p>
        </w:tc>
        <w:tc>
          <w:tcPr>
            <w:tcW w:type="dxa" w:w="3360"/>
            <w:vAlign w:val="center"/>
            <w:shd w:fill="24527A"/>
          </w:tcPr>
          <w:p>
            <w:pPr>
              <w:spacing w:after="40"/>
            </w:pPr>
            <w:r/>
            <w:r>
              <w:rPr>
                <w:b/>
                <w:color w:val="FFFFFF"/>
                <w:sz w:val="16"/>
              </w:rPr>
              <w:t>NoSQL database</w:t>
            </w:r>
          </w:p>
        </w:tc>
      </w:tr>
      <w:tr>
        <w:tc>
          <w:tcPr>
            <w:tcW w:type="dxa" w:w="3360"/>
            <w:vAlign w:val="center"/>
          </w:tcPr>
          <w:p>
            <w:pPr>
              <w:spacing w:after="40"/>
            </w:pPr>
            <w:r/>
            <w:r>
              <w:rPr>
                <w:b w:val="0"/>
                <w:sz w:val="16"/>
              </w:rPr>
              <w:t>Data model</w:t>
            </w:r>
          </w:p>
        </w:tc>
        <w:tc>
          <w:tcPr>
            <w:tcW w:type="dxa" w:w="3360"/>
            <w:vAlign w:val="center"/>
          </w:tcPr>
          <w:p>
            <w:pPr>
              <w:spacing w:after="40"/>
            </w:pPr>
            <w:r/>
            <w:r>
              <w:rPr>
                <w:b w:val="0"/>
                <w:sz w:val="16"/>
              </w:rPr>
              <w:t>Tables, rows, columns, relationships</w:t>
            </w:r>
          </w:p>
        </w:tc>
        <w:tc>
          <w:tcPr>
            <w:tcW w:type="dxa" w:w="3360"/>
            <w:vAlign w:val="center"/>
          </w:tcPr>
          <w:p>
            <w:pPr>
              <w:spacing w:after="40"/>
            </w:pPr>
            <w:r/>
            <w:r>
              <w:rPr>
                <w:b w:val="0"/>
                <w:sz w:val="16"/>
              </w:rPr>
              <w:t>Document, key-value, wide-column, graph</w:t>
            </w:r>
          </w:p>
        </w:tc>
      </w:tr>
      <w:tr>
        <w:tc>
          <w:tcPr>
            <w:tcW w:type="dxa" w:w="3360"/>
            <w:vAlign w:val="center"/>
            <w:shd w:fill="F2F6FA"/>
          </w:tcPr>
          <w:p>
            <w:pPr>
              <w:spacing w:after="40"/>
            </w:pPr>
            <w:r/>
            <w:r>
              <w:rPr>
                <w:b w:val="0"/>
                <w:sz w:val="16"/>
              </w:rPr>
              <w:t>Relationships</w:t>
            </w:r>
          </w:p>
        </w:tc>
        <w:tc>
          <w:tcPr>
            <w:tcW w:type="dxa" w:w="3360"/>
            <w:vAlign w:val="center"/>
            <w:shd w:fill="F2F6FA"/>
          </w:tcPr>
          <w:p>
            <w:pPr>
              <w:spacing w:after="40"/>
            </w:pPr>
            <w:r/>
            <w:r>
              <w:rPr>
                <w:b w:val="0"/>
                <w:sz w:val="16"/>
              </w:rPr>
              <w:t>Foreign keys and joins</w:t>
            </w:r>
          </w:p>
        </w:tc>
        <w:tc>
          <w:tcPr>
            <w:tcW w:type="dxa" w:w="3360"/>
            <w:vAlign w:val="center"/>
            <w:shd w:fill="F2F6FA"/>
          </w:tcPr>
          <w:p>
            <w:pPr>
              <w:spacing w:after="40"/>
            </w:pPr>
            <w:r/>
            <w:r>
              <w:rPr>
                <w:b w:val="0"/>
                <w:sz w:val="16"/>
              </w:rPr>
              <w:t>Often embedded, denormalized, or product-specific</w:t>
            </w:r>
          </w:p>
        </w:tc>
      </w:tr>
      <w:tr>
        <w:tc>
          <w:tcPr>
            <w:tcW w:type="dxa" w:w="3360"/>
            <w:vAlign w:val="center"/>
          </w:tcPr>
          <w:p>
            <w:pPr>
              <w:spacing w:after="40"/>
            </w:pPr>
            <w:r/>
            <w:r>
              <w:rPr>
                <w:b w:val="0"/>
                <w:sz w:val="16"/>
              </w:rPr>
              <w:t>Scalability</w:t>
            </w:r>
          </w:p>
        </w:tc>
        <w:tc>
          <w:tcPr>
            <w:tcW w:type="dxa" w:w="3360"/>
            <w:vAlign w:val="center"/>
          </w:tcPr>
          <w:p>
            <w:pPr>
              <w:spacing w:after="40"/>
            </w:pPr>
            <w:r/>
            <w:r>
              <w:rPr>
                <w:b w:val="0"/>
                <w:sz w:val="16"/>
              </w:rPr>
              <w:t>Vertical common; horizontal options exist</w:t>
            </w:r>
          </w:p>
        </w:tc>
        <w:tc>
          <w:tcPr>
            <w:tcW w:type="dxa" w:w="3360"/>
            <w:vAlign w:val="center"/>
          </w:tcPr>
          <w:p>
            <w:pPr>
              <w:spacing w:after="40"/>
            </w:pPr>
            <w:r/>
            <w:r>
              <w:rPr>
                <w:b w:val="0"/>
                <w:sz w:val="16"/>
              </w:rPr>
              <w:t>Many designed for horizontal distribution</w:t>
            </w:r>
          </w:p>
        </w:tc>
      </w:tr>
      <w:tr>
        <w:tc>
          <w:tcPr>
            <w:tcW w:type="dxa" w:w="3360"/>
            <w:vAlign w:val="center"/>
            <w:shd w:fill="F2F6FA"/>
          </w:tcPr>
          <w:p>
            <w:pPr>
              <w:spacing w:after="40"/>
            </w:pPr>
            <w:r/>
            <w:r>
              <w:rPr>
                <w:b w:val="0"/>
                <w:sz w:val="16"/>
              </w:rPr>
              <w:t>Consistency</w:t>
            </w:r>
          </w:p>
        </w:tc>
        <w:tc>
          <w:tcPr>
            <w:tcW w:type="dxa" w:w="3360"/>
            <w:vAlign w:val="center"/>
            <w:shd w:fill="F2F6FA"/>
          </w:tcPr>
          <w:p>
            <w:pPr>
              <w:spacing w:after="40"/>
            </w:pPr>
            <w:r/>
            <w:r>
              <w:rPr>
                <w:b w:val="0"/>
                <w:sz w:val="16"/>
              </w:rPr>
              <w:t>ACID transactions common</w:t>
            </w:r>
          </w:p>
        </w:tc>
        <w:tc>
          <w:tcPr>
            <w:tcW w:type="dxa" w:w="3360"/>
            <w:vAlign w:val="center"/>
            <w:shd w:fill="F2F6FA"/>
          </w:tcPr>
          <w:p>
            <w:pPr>
              <w:spacing w:after="40"/>
            </w:pPr>
            <w:r/>
            <w:r>
              <w:rPr>
                <w:b w:val="0"/>
                <w:sz w:val="16"/>
              </w:rPr>
              <w:t>Strong, eventual, or tunable depending on product</w:t>
            </w:r>
          </w:p>
        </w:tc>
      </w:tr>
      <w:tr>
        <w:tc>
          <w:tcPr>
            <w:tcW w:type="dxa" w:w="3360"/>
            <w:vAlign w:val="center"/>
          </w:tcPr>
          <w:p>
            <w:pPr>
              <w:spacing w:after="40"/>
            </w:pPr>
            <w:r/>
            <w:r>
              <w:rPr>
                <w:b w:val="0"/>
                <w:sz w:val="16"/>
              </w:rPr>
              <w:t>Performance</w:t>
            </w:r>
          </w:p>
        </w:tc>
        <w:tc>
          <w:tcPr>
            <w:tcW w:type="dxa" w:w="3360"/>
            <w:vAlign w:val="center"/>
          </w:tcPr>
          <w:p>
            <w:pPr>
              <w:spacing w:after="40"/>
            </w:pPr>
            <w:r/>
            <w:r>
              <w:rPr>
                <w:b w:val="0"/>
                <w:sz w:val="16"/>
              </w:rPr>
              <w:t>Complex joins and transactions</w:t>
            </w:r>
          </w:p>
        </w:tc>
        <w:tc>
          <w:tcPr>
            <w:tcW w:type="dxa" w:w="3360"/>
            <w:vAlign w:val="center"/>
          </w:tcPr>
          <w:p>
            <w:pPr>
              <w:spacing w:after="40"/>
            </w:pPr>
            <w:r/>
            <w:r>
              <w:rPr>
                <w:b w:val="0"/>
                <w:sz w:val="16"/>
              </w:rPr>
              <w:t>Fast when workload fits the data model</w:t>
            </w:r>
          </w:p>
        </w:tc>
      </w:tr>
      <w:tr>
        <w:tc>
          <w:tcPr>
            <w:tcW w:type="dxa" w:w="3360"/>
            <w:vAlign w:val="center"/>
            <w:shd w:fill="F2F6FA"/>
          </w:tcPr>
          <w:p>
            <w:pPr>
              <w:spacing w:after="40"/>
            </w:pPr>
            <w:r/>
            <w:r>
              <w:rPr>
                <w:b w:val="0"/>
                <w:sz w:val="16"/>
              </w:rPr>
              <w:t>Schema</w:t>
            </w:r>
          </w:p>
        </w:tc>
        <w:tc>
          <w:tcPr>
            <w:tcW w:type="dxa" w:w="3360"/>
            <w:vAlign w:val="center"/>
            <w:shd w:fill="F2F6FA"/>
          </w:tcPr>
          <w:p>
            <w:pPr>
              <w:spacing w:after="40"/>
            </w:pPr>
            <w:r/>
            <w:r>
              <w:rPr>
                <w:b w:val="0"/>
                <w:sz w:val="16"/>
              </w:rPr>
              <w:t>Explicit schema and migrations</w:t>
            </w:r>
          </w:p>
        </w:tc>
        <w:tc>
          <w:tcPr>
            <w:tcW w:type="dxa" w:w="3360"/>
            <w:vAlign w:val="center"/>
            <w:shd w:fill="F2F6FA"/>
          </w:tcPr>
          <w:p>
            <w:pPr>
              <w:spacing w:after="40"/>
            </w:pPr>
            <w:r/>
            <w:r>
              <w:rPr>
                <w:b w:val="0"/>
                <w:sz w:val="16"/>
              </w:rPr>
              <w:t>Often flexible or model-specific</w:t>
            </w:r>
          </w:p>
        </w:tc>
      </w:tr>
      <w:tr>
        <w:tc>
          <w:tcPr>
            <w:tcW w:type="dxa" w:w="3360"/>
            <w:vAlign w:val="center"/>
          </w:tcPr>
          <w:p>
            <w:pPr>
              <w:spacing w:after="40"/>
            </w:pPr>
            <w:r/>
            <w:r>
              <w:rPr>
                <w:b w:val="0"/>
                <w:sz w:val="16"/>
              </w:rPr>
              <w:t>Use cases</w:t>
            </w:r>
          </w:p>
        </w:tc>
        <w:tc>
          <w:tcPr>
            <w:tcW w:type="dxa" w:w="3360"/>
            <w:vAlign w:val="center"/>
          </w:tcPr>
          <w:p>
            <w:pPr>
              <w:spacing w:after="40"/>
            </w:pPr>
            <w:r/>
            <w:r>
              <w:rPr>
                <w:b w:val="0"/>
                <w:sz w:val="16"/>
              </w:rPr>
              <w:t>Orders, accounting, inventory, bookings</w:t>
            </w:r>
          </w:p>
        </w:tc>
        <w:tc>
          <w:tcPr>
            <w:tcW w:type="dxa" w:w="3360"/>
            <w:vAlign w:val="center"/>
          </w:tcPr>
          <w:p>
            <w:pPr>
              <w:spacing w:after="40"/>
            </w:pPr>
            <w:r/>
            <w:r>
              <w:rPr>
                <w:b w:val="0"/>
                <w:sz w:val="16"/>
              </w:rPr>
              <w:t>Cache, content, telemetry, graph traversals</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Online Retail Sales Management System | MySQL 8.0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