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Page１：トップページ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要素</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①キービジュアル（ファーストビュー）</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SNSないしはデジタル社会の複雑さと二面性を表現したようなビジュアルを</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ページを開いた開口一番で閲覧者に見せる事で</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サイトの雰囲気やサイト自体への関心を持ってもらう</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②キャッチコピー</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キービジュアルに盛り込む形で、インパクトを与える</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③導入テキスト</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④主要ページへの誘導リンク</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