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AF7F2"/>
  <w:body>
    <w:p>
      <w:pPr>
        <w:pStyle w:val="Eyebrow"/>
      </w:pPr>
      <w:r>
        <w:t xml:space="preserve">Field Notes</w:t>
      </w:r>
    </w:p>
    <w:p>
      <w:pPr>
        <w:pStyle w:val="Title"/>
      </w:pPr>
      <w:r>
        <w:t xml:space="preserve">Document template</w:t>
      </w:r>
    </w:p>
    <w:p>
      <w:pPr>
        <w:pStyle w:val="Lead"/>
      </w:pPr>
      <w:r>
        <w:t xml:space="preserve">Every style in this template, shown in use. Delete this text and write your own — or start from the .dotx, which carries the same styles with none of the demo content.</w:t>
      </w:r>
    </w:p>
    <w:p>
      <w:pPr>
        <w:pStyle w:val="MetaLine"/>
      </w:pPr>
      <w:r>
        <w:t xml:space="preserve">15 August 2026 · Alex Young</w:t>
      </w:r>
    </w:p>
    <w:p>
      <w:pPr>
        <w:pStyle w:val="Heading1"/>
      </w:pPr>
      <w:r>
        <w:t xml:space="preserve">How to use it</w:t>
      </w:r>
    </w:p>
    <w:p>
      <w:r>
        <w:t xml:space="preserve">Apply styles from the Styles gallery rather than formatting by hand. The point of a template is that a heading is a Heading — not 16pt Space Grotesk that happens to look like one. Restyling later then costs one edit instead of forty.</w:t>
      </w:r>
    </w:p>
    <w:p>
      <w:pPr>
        <w:pStyle w:val="SectionLabel"/>
      </w:pPr>
      <w:r>
        <w:t xml:space="preserve">Structure</w:t>
      </w:r>
    </w:p>
    <w:p>
      <w:pPr>
        <w:pStyle w:val="Heading2"/>
      </w:pPr>
      <w:r>
        <w:t xml:space="preserve">Headings carry the hierarchy</w:t>
      </w:r>
    </w:p>
    <w:p>
      <w:r>
        <w:t xml:space="preserve">Heading 2 sits under a hairline rule, which is the accent at 20% rather than a grey. That single choice is most of why the page reads warm and deliberate instead of like a default Word document.</w:t>
      </w:r>
    </w:p>
    <w:p>
      <w:pPr>
        <w:pStyle w:val="Heading3"/>
      </w:pPr>
      <w:r>
        <w:t xml:space="preserve">Heading 3 for sub-points</w:t>
      </w:r>
    </w:p>
    <w:p>
      <w:r>
        <w:t xml:space="preserve">Body copy is Calibri at 11pt with 1.4 line spacing. The margins are set wide on purpose: they hold the line length near the system’s 65-character measure. A 1-inch side margin on A4 runs closer to 90 characters, which is measurably harder to read.</w:t>
      </w:r>
    </w:p>
    <w:p>
      <w:pPr>
        <w:pStyle w:val="SectionLabel"/>
      </w:pPr>
      <w:r>
        <w:t xml:space="preserve">Emphasis</w:t>
      </w:r>
    </w:p>
    <w:p>
      <w:r>
        <w:t xml:space="preserve">Use the </w:t>
      </w:r>
      <w:r>
        <w:rPr>
          <w:rStyle w:val="AccentText"/>
        </w:rPr>
        <w:t xml:space="preserve">Accent</w:t>
      </w:r>
      <w:r>
        <w:t xml:space="preserve"> character style for emphasis rather than italic. Space Grotesk ships no italic at all, so an italicised heading is a fake oblique the renderer invents — it reads as a bug. Body text in Calibri italicises normally, but the accent is the house move.</w:t>
      </w:r>
    </w:p>
    <w:p>
      <w:pPr>
        <w:pStyle w:val="Callout"/>
      </w:pPr>
      <w:r>
        <w:rPr>
          <w:b/>
          <w:bCs/>
        </w:rPr>
        <w:t xml:space="preserve">Callout. </w:t>
      </w:r>
      <w:r>
        <w:t xml:space="preserve">For anything that needs lifting out of the flow — a caveat, a decision, a number that matters. Accent rule on the left, sunk fill behind.</w:t>
      </w:r>
    </w:p>
    <w:p>
      <w:pPr>
        <w:pStyle w:val="SectionLabel"/>
      </w:pPr>
      <w:r>
        <w:t xml:space="preserve">Data</w:t>
      </w:r>
    </w:p>
    <w:p>
      <w:r>
        <w:t xml:space="preserve">Everything factual is monospaced: </w:t>
      </w:r>
      <w:r>
        <w:rPr>
          <w:rStyle w:val="MonoData"/>
        </w:rPr>
        <w:t xml:space="preserve">09:40</w:t>
      </w:r>
      <w:r>
        <w:t xml:space="preserve">, </w:t>
      </w:r>
      <w:r>
        <w:rPr>
          <w:rStyle w:val="MonoData"/>
        </w:rPr>
        <w:t xml:space="preserve">14/14 up</w:t>
      </w:r>
      <w:r>
        <w:t xml:space="preserve">, </w:t>
      </w:r>
      <w:r>
        <w:rPr>
          <w:rStyle w:val="MonoData"/>
        </w:rPr>
        <w:t xml:space="preserve">$2,140</w:t>
      </w:r>
      <w:r>
        <w:t xml:space="preserve">. Times, dates, counts, money, status, IDs. It is the system’s core move and the reason columns of figures line up without a table.</w:t>
      </w:r>
    </w:p>
    <w:tbl>
      <w:tblPr>
        <w:tblW w:type="dxa" w:w="75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3686"/>
      </w:tblGrid>
      <w:tr>
        <w:trPr>
          <w:tblHeader/>
        </w:trPr>
        <w:tc>
          <w:tcPr>
            <w:tcW w:type="dxa" w:w="2400"/>
            <w:tcBorders>
              <w:top w:val="nil"/>
              <w:left w:val="nil"/>
              <w:bottom w:val="single" w:color="204E39" w:sz="8"/>
              <w:right w:val="nil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aps/>
                <w:color w:val="6B6358"/>
                <w:spacing w:val="16"/>
                <w:sz w:val="16"/>
                <w:szCs w:val="16"/>
              </w:rPr>
              <w:t xml:space="preserve">Token</w:t>
            </w:r>
          </w:p>
        </w:tc>
        <w:tc>
          <w:tcPr>
            <w:tcW w:type="dxa" w:w="1500"/>
            <w:tcBorders>
              <w:top w:val="nil"/>
              <w:left w:val="nil"/>
              <w:bottom w:val="single" w:color="204E39" w:sz="8"/>
              <w:right w:val="nil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aps/>
                <w:color w:val="6B6358"/>
                <w:spacing w:val="16"/>
                <w:sz w:val="16"/>
                <w:szCs w:val="16"/>
              </w:rPr>
              <w:t xml:space="preserve">Value</w:t>
            </w:r>
          </w:p>
        </w:tc>
        <w:tc>
          <w:tcPr>
            <w:tcW w:type="dxa" w:w="3686"/>
            <w:tcBorders>
              <w:top w:val="nil"/>
              <w:left w:val="nil"/>
              <w:bottom w:val="single" w:color="204E39" w:sz="8"/>
              <w:right w:val="nil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aps/>
                <w:color w:val="6B6358"/>
                <w:spacing w:val="16"/>
                <w:sz w:val="16"/>
                <w:szCs w:val="16"/>
              </w:rPr>
              <w:t xml:space="preserve">Job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CED5CD" w:sz="4"/>
              <w:right w:val="nil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JetBrains Mono" w:cs="JetBrains Mono" w:eastAsia="JetBrains Mono" w:hAnsi="JetBrains Mono"/>
                <w:color w:val="141210"/>
                <w:sz w:val="18"/>
                <w:szCs w:val="18"/>
              </w:rPr>
              <w:t xml:space="preserve">--accent</w:t>
            </w:r>
          </w:p>
        </w:tc>
        <w:tc>
          <w:tcPr>
            <w:tcW w:type="dxa" w:w="1500"/>
            <w:tcBorders>
              <w:top w:val="nil"/>
              <w:left w:val="nil"/>
              <w:bottom w:val="single" w:color="CED5CD" w:sz="4"/>
              <w:right w:val="nil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JetBrains Mono" w:cs="JetBrains Mono" w:eastAsia="JetBrains Mono" w:hAnsi="JetBrains Mono"/>
                <w:color w:val="141210"/>
                <w:sz w:val="18"/>
                <w:szCs w:val="18"/>
              </w:rPr>
              <w:t xml:space="preserve">#204E39</w:t>
            </w:r>
          </w:p>
        </w:tc>
        <w:tc>
          <w:tcPr>
            <w:tcW w:type="dxa" w:w="3686"/>
            <w:tcBorders>
              <w:top w:val="nil"/>
              <w:left w:val="nil"/>
              <w:bottom w:val="single" w:color="CED5CD" w:sz="4"/>
              <w:right w:val="nil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41210"/>
                <w:sz w:val="22"/>
                <w:szCs w:val="22"/>
              </w:rPr>
              <w:t xml:space="preserve">All interactive work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CED5CD" w:sz="4"/>
              <w:right w:val="nil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JetBrains Mono" w:cs="JetBrains Mono" w:eastAsia="JetBrains Mono" w:hAnsi="JetBrains Mono"/>
                <w:color w:val="141210"/>
                <w:sz w:val="18"/>
                <w:szCs w:val="18"/>
              </w:rPr>
              <w:t xml:space="preserve">--ink</w:t>
            </w:r>
          </w:p>
        </w:tc>
        <w:tc>
          <w:tcPr>
            <w:tcW w:type="dxa" w:w="1500"/>
            <w:tcBorders>
              <w:top w:val="nil"/>
              <w:left w:val="nil"/>
              <w:bottom w:val="single" w:color="CED5CD" w:sz="4"/>
              <w:right w:val="nil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JetBrains Mono" w:cs="JetBrains Mono" w:eastAsia="JetBrains Mono" w:hAnsi="JetBrains Mono"/>
                <w:color w:val="141210"/>
                <w:sz w:val="18"/>
                <w:szCs w:val="18"/>
              </w:rPr>
              <w:t xml:space="preserve">#141210</w:t>
            </w:r>
          </w:p>
        </w:tc>
        <w:tc>
          <w:tcPr>
            <w:tcW w:type="dxa" w:w="3686"/>
            <w:tcBorders>
              <w:top w:val="nil"/>
              <w:left w:val="nil"/>
              <w:bottom w:val="single" w:color="CED5CD" w:sz="4"/>
              <w:right w:val="nil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41210"/>
                <w:sz w:val="22"/>
                <w:szCs w:val="22"/>
              </w:rPr>
              <w:t xml:space="preserve">Body and headings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CED5CD" w:sz="4"/>
              <w:right w:val="nil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JetBrains Mono" w:cs="JetBrains Mono" w:eastAsia="JetBrains Mono" w:hAnsi="JetBrains Mono"/>
                <w:color w:val="141210"/>
                <w:sz w:val="18"/>
                <w:szCs w:val="18"/>
              </w:rPr>
              <w:t xml:space="preserve">--muted</w:t>
            </w:r>
          </w:p>
        </w:tc>
        <w:tc>
          <w:tcPr>
            <w:tcW w:type="dxa" w:w="1500"/>
            <w:tcBorders>
              <w:top w:val="nil"/>
              <w:left w:val="nil"/>
              <w:bottom w:val="single" w:color="CED5CD" w:sz="4"/>
              <w:right w:val="nil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JetBrains Mono" w:cs="JetBrains Mono" w:eastAsia="JetBrains Mono" w:hAnsi="JetBrains Mono"/>
                <w:color w:val="141210"/>
                <w:sz w:val="18"/>
                <w:szCs w:val="18"/>
              </w:rPr>
              <w:t xml:space="preserve">#57514A</w:t>
            </w:r>
          </w:p>
        </w:tc>
        <w:tc>
          <w:tcPr>
            <w:tcW w:type="dxa" w:w="3686"/>
            <w:tcBorders>
              <w:top w:val="nil"/>
              <w:left w:val="nil"/>
              <w:bottom w:val="single" w:color="CED5CD" w:sz="4"/>
              <w:right w:val="nil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41210"/>
                <w:sz w:val="22"/>
                <w:szCs w:val="22"/>
              </w:rPr>
              <w:t xml:space="preserve">Secondary prose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CED5CD" w:sz="4"/>
              <w:right w:val="nil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JetBrains Mono" w:cs="JetBrains Mono" w:eastAsia="JetBrains Mono" w:hAnsi="JetBrains Mono"/>
                <w:color w:val="141210"/>
                <w:sz w:val="18"/>
                <w:szCs w:val="18"/>
              </w:rPr>
              <w:t xml:space="preserve">--muted-2</w:t>
            </w:r>
          </w:p>
        </w:tc>
        <w:tc>
          <w:tcPr>
            <w:tcW w:type="dxa" w:w="1500"/>
            <w:tcBorders>
              <w:top w:val="nil"/>
              <w:left w:val="nil"/>
              <w:bottom w:val="single" w:color="CED5CD" w:sz="4"/>
              <w:right w:val="nil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JetBrains Mono" w:cs="JetBrains Mono" w:eastAsia="JetBrains Mono" w:hAnsi="JetBrains Mono"/>
                <w:color w:val="141210"/>
                <w:sz w:val="18"/>
                <w:szCs w:val="18"/>
              </w:rPr>
              <w:t xml:space="preserve">#6B6358</w:t>
            </w:r>
          </w:p>
        </w:tc>
        <w:tc>
          <w:tcPr>
            <w:tcW w:type="dxa" w:w="3686"/>
            <w:tcBorders>
              <w:top w:val="nil"/>
              <w:left w:val="nil"/>
              <w:bottom w:val="single" w:color="CED5CD" w:sz="4"/>
              <w:right w:val="nil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41210"/>
                <w:sz w:val="22"/>
                <w:szCs w:val="22"/>
              </w:rPr>
              <w:t xml:space="preserve">Labels only, never body</w:t>
            </w:r>
          </w:p>
        </w:tc>
      </w:tr>
    </w:tbl>
    <w:p>
      <w:pPr>
        <w:pStyle w:val="CaptionText"/>
      </w:pPr>
      <w:r>
        <w:t xml:space="preserve">Table — header rule in accent, row rules in hairline</w:t>
      </w:r>
    </w:p>
    <w:p>
      <w:pPr>
        <w:pStyle w:val="SectionLabel"/>
      </w:pPr>
      <w:r>
        <w:t xml:space="preserve">Lists</w:t>
      </w:r>
    </w:p>
    <w:p>
      <w:pPr>
        <w:pStyle w:val="ListParagraph"/>
        <w:numPr>
          <w:ilvl w:val="0"/>
          <w:numId w:val="2"/>
        </w:numPr>
      </w:pPr>
      <w:r>
        <w:t xml:space="preserve">Em-dash bullets in the accent, not round dots</w:t>
      </w:r>
    </w:p>
    <w:p>
      <w:pPr>
        <w:pStyle w:val="ListParagraph"/>
        <w:numPr>
          <w:ilvl w:val="0"/>
          <w:numId w:val="2"/>
        </w:numPr>
      </w:pPr>
      <w:r>
        <w:t xml:space="preserve">They read as field notes rather than a slide deck</w:t>
      </w:r>
    </w:p>
    <w:p>
      <w:pPr>
        <w:pStyle w:val="ListParagraph"/>
        <w:numPr>
          <w:ilvl w:val="0"/>
          <w:numId w:val="2"/>
        </w:numPr>
      </w:pPr>
      <w:r>
        <w:t xml:space="preserve">Second level uses a middot</w:t>
      </w:r>
    </w:p>
    <w:p>
      <w:pPr>
        <w:pStyle w:val="Heading1"/>
      </w:pPr>
      <w:r>
        <w:t xml:space="preserve">What breaks this</w:t>
      </w:r>
    </w:p>
    <w:p>
      <w:pPr>
        <w:pStyle w:val="ListParagraph"/>
        <w:numPr>
          <w:ilvl w:val="0"/>
          <w:numId w:val="2"/>
        </w:numPr>
      </w:pPr>
      <w:r>
        <w:t xml:space="preserve">Adding a second accent colour. The thread is the identity; a second interactive colour halves it.</w:t>
      </w:r>
    </w:p>
    <w:p>
      <w:pPr>
        <w:pStyle w:val="ListParagraph"/>
        <w:numPr>
          <w:ilvl w:val="0"/>
          <w:numId w:val="2"/>
        </w:numPr>
      </w:pPr>
      <w:r>
        <w:t xml:space="preserve">Greying the hairlines. They are the accent at low alpha — a neutral grey rule is the fastest way to make this look like a default template.</w:t>
      </w:r>
    </w:p>
    <w:p>
      <w:pPr>
        <w:pStyle w:val="ListParagraph"/>
        <w:numPr>
          <w:ilvl w:val="0"/>
          <w:numId w:val="2"/>
        </w:numPr>
      </w:pPr>
      <w:r>
        <w:t xml:space="preserve">Putting Meta grey on body copy. It is a label colour and fails AA at body sizes.</w:t>
      </w:r>
    </w:p>
    <w:p>
      <w:pPr>
        <w:pStyle w:val="ListParagraph"/>
        <w:numPr>
          <w:ilvl w:val="0"/>
          <w:numId w:val="2"/>
        </w:numPr>
      </w:pPr>
      <w:r>
        <w:t xml:space="preserve">Italicising a heading. See above — there is no real italic to reach for.</w:t>
      </w:r>
    </w:p>
    <w:p>
      <w:pPr>
        <w:pStyle w:val="Callout"/>
      </w:pPr>
      <w:r>
        <w:rPr>
          <w:b/>
          <w:bCs/>
        </w:rPr>
        <w:t xml:space="preserve">Sending this to someone else? </w:t>
      </w:r>
      <w:r>
        <w:t xml:space="preserve">Space Grotesk and JetBrains Mono must be installed on their machine, or Word substitutes silently. Both fonts are SIL Open Font Licence, which permits embedding: File › Save As › Tools › Save Options › Embed fonts in the file. Tick “embed only the characters used” to keep the file small.</w:t>
      </w:r>
    </w:p>
    <w:sectPr>
      <w:pgSz w:w="11906" w:h="16838" w:orient="portrait"/>
      <w:pgMar w:top="1440" w:right="216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rFonts w:ascii="JetBrains Mono" w:cs="JetBrains Mono" w:eastAsia="JetBrains Mono" w:hAnsi="JetBrains Mono"/>
        <w:color w:val="204E39"/>
      </w:rPr>
    </w:lvl>
    <w:lvl w:ilvl="1" w15:tentative="1">
      <w:start w:val="1"/>
      <w:numFmt w:val="bullet"/>
      <w:lvlText w:val="·"/>
      <w:lvlJc w:val="left"/>
      <w:pPr>
        <w:ind w:left="720" w:hanging="220"/>
      </w:pPr>
      <w:rPr>
        <w:rFonts w:ascii="JetBrains Mono" w:cs="JetBrains Mono" w:eastAsia="JetBrains Mono" w:hAnsi="JetBrains Mono"/>
        <w:color w:val="204E3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210"/>
        <w:sz w:val="22"/>
        <w:szCs w:val="22"/>
      </w:rPr>
    </w:rPrDefault>
    <w:pPrDefault>
      <w:pPr>
        <w:spacing w:after="160" w:line="336"/>
      </w:pPr>
    </w:pPrDefault>
  </w:docDefaults>
  <w:style w:type="paragraph" w:styleId="Title">
    <w:name w:val="Title"/>
    <w:basedOn w:val="Normal"/>
    <w:next w:val="Normal"/>
    <w:qFormat/>
    <w:pPr>
      <w:spacing w:after="200" w:before="0" w:line="240"/>
    </w:pPr>
    <w:rPr>
      <w:rFonts w:ascii="Space Grotesk SemiBold" w:cs="Space Grotesk SemiBold" w:eastAsia="Space Grotesk SemiBold" w:hAnsi="Space Grotesk SemiBold"/>
      <w:b w:val="false"/>
      <w:bCs w:val="false"/>
      <w:color w:val="141210"/>
      <w:sz w:val="60"/>
      <w:szCs w:val="60"/>
    </w:rPr>
  </w:style>
  <w:style w:type="paragraph" w:styleId="Heading1">
    <w:name w:val="Heading 1"/>
    <w:basedOn w:val="Normal"/>
    <w:next w:val="Normal"/>
    <w:qFormat/>
    <w:pPr>
      <w:spacing w:after="160" w:before="400" w:line="264"/>
    </w:pPr>
    <w:rPr>
      <w:rFonts w:ascii="Space Grotesk SemiBold" w:cs="Space Grotesk SemiBold" w:eastAsia="Space Grotesk SemiBold" w:hAnsi="Space Grotesk SemiBold"/>
      <w:b w:val="false"/>
      <w:bCs w:val="false"/>
      <w:color w:val="141210"/>
      <w:sz w:val="44"/>
      <w:szCs w:val="44"/>
    </w:rPr>
  </w:style>
  <w:style w:type="paragraph" w:styleId="Heading2">
    <w:name w:val="Heading 2"/>
    <w:basedOn w:val="Normal"/>
    <w:next w:val="Normal"/>
    <w:qFormat/>
    <w:pPr>
      <w:pBdr>
        <w:bottom w:val="single" w:color="CED5CD" w:sz="6" w:space="8"/>
      </w:pBdr>
      <w:spacing w:after="120" w:before="320" w:line="264"/>
    </w:pPr>
    <w:rPr>
      <w:rFonts w:ascii="Space Grotesk SemiBold" w:cs="Space Grotesk SemiBold" w:eastAsia="Space Grotesk SemiBold" w:hAnsi="Space Grotesk SemiBold"/>
      <w:b w:val="false"/>
      <w:bCs w:val="false"/>
      <w:color w:val="14121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 w:line="264"/>
    </w:pPr>
    <w:rPr>
      <w:rFonts w:ascii="Space Grotesk SemiBold" w:cs="Space Grotesk SemiBold" w:eastAsia="Space Grotesk SemiBold" w:hAnsi="Space Grotesk SemiBold"/>
      <w:b w:val="false"/>
      <w:bCs w:val="false"/>
      <w:color w:val="14121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 w:line="264"/>
    </w:pPr>
    <w:rPr>
      <w:rFonts w:ascii="Space Grotesk SemiBold" w:cs="Space Grotesk SemiBold" w:eastAsia="Space Grotesk SemiBold" w:hAnsi="Space Grotesk SemiBold"/>
      <w:b w:val="false"/>
      <w:bCs w:val="false"/>
      <w:color w:val="141210"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200" w:line="240"/>
    </w:pPr>
    <w:rPr>
      <w:rFonts w:ascii="JetBrains Mono" w:cs="JetBrains Mono" w:eastAsia="JetBrains Mono" w:hAnsi="JetBrains Mono"/>
      <w:caps/>
      <w:color w:val="6B6358"/>
      <w:spacing w:val="16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60" w:before="200" w:line="240"/>
    </w:pPr>
    <w:rPr>
      <w:rFonts w:ascii="JetBrains Mono" w:cs="JetBrains Mono" w:eastAsia="JetBrains Mono" w:hAnsi="JetBrains Mono"/>
      <w:caps/>
      <w:color w:val="6B6358"/>
      <w:spacing w:val="16"/>
      <w:sz w:val="16"/>
      <w:szCs w:val="1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204E39"/>
      <w:u w:val="single" w:color="204E39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Eyebrow">
    <w:name w:val="Eyebrow"/>
    <w:basedOn w:val="Normal"/>
    <w:next w:val="Normal"/>
    <w:qFormat/>
    <w:pPr>
      <w:spacing w:after="60" w:before="240" w:line="240"/>
    </w:pPr>
    <w:rPr>
      <w:rFonts w:ascii="JetBrains Mono" w:cs="JetBrains Mono" w:eastAsia="JetBrains Mono" w:hAnsi="JetBrains Mono"/>
      <w:caps/>
      <w:color w:val="204E39"/>
      <w:spacing w:val="26"/>
      <w:sz w:val="16"/>
      <w:szCs w:val="16"/>
    </w:rPr>
  </w:style>
  <w:style w:type="paragraph" w:styleId="SectionLabel">
    <w:name w:val="Section Label"/>
    <w:basedOn w:val="Normal"/>
    <w:next w:val="Normal"/>
    <w:qFormat/>
    <w:pPr>
      <w:spacing w:after="60" w:before="200" w:line="240"/>
    </w:pPr>
    <w:rPr>
      <w:rFonts w:ascii="JetBrains Mono" w:cs="JetBrains Mono" w:eastAsia="JetBrains Mono" w:hAnsi="JetBrains Mono"/>
      <w:caps/>
      <w:color w:val="6B6358"/>
      <w:spacing w:val="16"/>
      <w:sz w:val="16"/>
      <w:szCs w:val="16"/>
    </w:rPr>
  </w:style>
  <w:style w:type="paragraph" w:styleId="Lead">
    <w:name w:val="Lead"/>
    <w:basedOn w:val="Normal"/>
    <w:next w:val="Normal"/>
    <w:qFormat/>
    <w:pPr>
      <w:spacing w:after="200" w:line="320"/>
    </w:pPr>
    <w:rPr>
      <w:rFonts w:ascii="Calibri" w:cs="Calibri" w:eastAsia="Calibri" w:hAnsi="Calibri"/>
      <w:color w:val="57514A"/>
      <w:sz w:val="26"/>
      <w:szCs w:val="26"/>
    </w:rPr>
  </w:style>
  <w:style w:type="paragraph" w:styleId="MetaLine">
    <w:name w:val="Meta"/>
    <w:basedOn w:val="Normal"/>
    <w:next w:val="Normal"/>
    <w:qFormat/>
    <w:pPr>
      <w:spacing w:after="120" w:line="260"/>
    </w:pPr>
    <w:rPr>
      <w:rFonts w:ascii="JetBrains Mono" w:cs="JetBrains Mono" w:eastAsia="JetBrains Mono" w:hAnsi="JetBrains Mono"/>
      <w:color w:val="57514A"/>
      <w:sz w:val="18"/>
      <w:szCs w:val="18"/>
    </w:rPr>
  </w:style>
  <w:style w:type="paragraph" w:styleId="Callout">
    <w:name w:val="Callout"/>
    <w:basedOn w:val="Normal"/>
    <w:next w:val="Normal"/>
    <w:qFormat/>
    <w:pPr>
      <w:pBdr>
        <w:left w:val="single" w:color="204E39" w:sz="18" w:space="12"/>
      </w:pBdr>
      <w:shd w:fill="F4F0E8" w:color="auto" w:val="clear"/>
      <w:spacing w:after="200" w:before="200" w:line="336"/>
      <w:ind w:left="280"/>
    </w:pPr>
    <w:rPr>
      <w:rFonts w:ascii="Calibri" w:cs="Calibri" w:eastAsia="Calibri" w:hAnsi="Calibri"/>
      <w:color w:val="141210"/>
      <w:sz w:val="22"/>
      <w:szCs w:val="22"/>
    </w:rPr>
  </w:style>
  <w:style w:type="paragraph" w:styleId="CaptionText">
    <w:name w:val="Caption Text"/>
    <w:basedOn w:val="Normal"/>
    <w:next w:val="Normal"/>
    <w:qFormat/>
    <w:pPr>
      <w:spacing w:after="200" w:before="60" w:line="240"/>
    </w:pPr>
    <w:rPr>
      <w:rFonts w:ascii="JetBrains Mono" w:cs="JetBrains Mono" w:eastAsia="JetBrains Mono" w:hAnsi="JetBrains Mono"/>
      <w:color w:val="6B6358"/>
      <w:sz w:val="16"/>
      <w:szCs w:val="16"/>
    </w:rPr>
  </w:style>
  <w:style w:type="character" w:styleId="MonoData">
    <w:name w:val="Mono Data"/>
    <w:basedOn w:val="DefaultParagraphFont"/>
    <w:uiPriority w:val="99"/>
    <w:unhideWhenUsed/>
    <w:qFormat/>
    <w:rPr>
      <w:rFonts w:ascii="JetBrains Mono" w:cs="JetBrains Mono" w:eastAsia="JetBrains Mono" w:hAnsi="JetBrains Mono"/>
      <w:color w:val="141210"/>
      <w:sz w:val="18"/>
      <w:szCs w:val="18"/>
    </w:rPr>
  </w:style>
  <w:style w:type="character" w:styleId="AccentText">
    <w:name w:val="Accent"/>
    <w:basedOn w:val="DefaultParagraphFont"/>
    <w:uiPriority w:val="99"/>
    <w:unhideWhenUsed/>
    <w:qFormat/>
    <w:rPr>
      <w:b/>
      <w:bCs/>
      <w:color w:val="204E3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2026-08-15T05:56:08.215Z</dcterms:created>
  <dcterms:modified xsi:type="dcterms:W3CDTF">2026-08-15T05:56:08.216Z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