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3: Architecture Selection &amp; Component Modelling</w:t>
      </w:r>
    </w:p>
    <w:p>
      <w:pPr>
        <w:jc w:val="center"/>
      </w:pPr>
      <w:r>
        <w:rPr>
          <w:b/>
          <w:sz w:val="24"/>
        </w:rPr>
        <w:t>OpenAPI Mock Server Generator</w:t>
      </w:r>
    </w:p>
    <w:p>
      <w:pPr>
        <w:spacing w:before="80" w:after="40"/>
      </w:pPr>
      <w:r>
        <w:rPr>
          <w:b/>
          <w:sz w:val="22"/>
        </w:rPr>
        <w:t>Architecture Selection</w:t>
      </w:r>
    </w:p>
    <w:p>
      <w:r>
        <w:t>We chose Layered Architecture for the OpenAPI Mock Server Generator.</w:t>
      </w:r>
    </w:p>
    <w:p>
      <w:pPr>
        <w:spacing w:before="80" w:after="40"/>
      </w:pPr>
      <w:r>
        <w:rPr>
          <w:b/>
          <w:sz w:val="22"/>
        </w:rPr>
        <w:t>Architectural Choice and Reasons</w:t>
      </w:r>
    </w:p>
    <w:p>
      <w:r>
        <w:t>1. Clear separation of concerns: OpenAPI parsing, endpoint generation, request validation, response simulation, and HTTP handling can be organized as distinct components. This makes the system easier to understand and maintain as features grow.</w:t>
      </w:r>
    </w:p>
    <w:p>
      <w:r>
        <w:t>2. Straightforward component interaction: the generator can pass endpoint definitions to the mock server, while validation and response simulation handle request processing separately. This provides clear interfaces and reduces unnecessary coupling between responsibilities.</w:t>
      </w:r>
    </w:p>
    <w:p>
      <w:pPr>
        <w:spacing w:before="80" w:after="40"/>
      </w:pPr>
      <w:r>
        <w:rPr>
          <w:b/>
          <w:sz w:val="22"/>
        </w:rPr>
        <w:t>Security Advantage</w:t>
      </w:r>
    </w:p>
    <w:p>
      <w:r>
        <w:t>Layer separation allows validation to act as a controlled boundary before requests reach response simulation. Request-schema checks can reject invalid input early and keep validation logic separate from endpoint-serving logic.</w:t>
      </w:r>
    </w:p>
    <w:p>
      <w:pPr>
        <w:spacing w:before="80" w:after="40"/>
      </w:pPr>
      <w:r>
        <w:rPr>
          <w:b/>
          <w:sz w:val="22"/>
        </w:rPr>
        <w:t>Performance Benefit</w:t>
      </w:r>
    </w:p>
    <w:p>
      <w:r>
        <w:t>Keeping parsing and endpoint generation separate from request-time validation and response simulation avoids repeatedly processing the OpenAPI specification for every request. Generated endpoint information can be prepared once and then used by request-handling components.</w:t>
      </w:r>
    </w:p>
    <w:p>
      <w:pPr>
        <w:spacing w:before="80" w:after="40"/>
      </w:pPr>
      <w:r>
        <w:rPr>
          <w:b/>
          <w:sz w:val="22"/>
        </w:rPr>
        <w:t>Components and Interfaces</w:t>
      </w:r>
    </w:p>
    <w:p>
      <w:r>
        <w:t>The diagram contains five components: OpenAPI Specification Parser, Mock Endpoint Generator, Mock Server / HTTP Handler, Request Validation Component, and Response Simulation Component. It shows five interfaces using provided (ball) and required (socket) notation: OpenAPI Parsing API, Endpoint Generation API, HTTP Request API, Validation Result API, and Response Simulation API.</w:t>
      </w:r>
    </w:p>
    <w:p>
      <w:r>
        <w:t>This architecture and component model adapt the Lab 3 requirements to the OpenAPI Mock Server Generator project used in the previous labs.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