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3ABF3">
      <w:pPr>
        <w:spacing w:before="1420" w:after="280" w:line="480" w:lineRule="exact"/>
        <w:ind w:firstLine="480" w:firstLineChars="200"/>
        <w:jc w:val="center"/>
      </w:pPr>
      <w:r>
        <w:drawing>
          <wp:anchor distT="0" distB="0" distL="114300" distR="114300" simplePos="0" relativeHeight="251661312" behindDoc="1" locked="0" layoutInCell="1" allowOverlap="1">
            <wp:simplePos x="0" y="0"/>
            <wp:positionH relativeFrom="column">
              <wp:posOffset>1383665</wp:posOffset>
            </wp:positionH>
            <wp:positionV relativeFrom="paragraph">
              <wp:posOffset>207645</wp:posOffset>
            </wp:positionV>
            <wp:extent cx="3360420" cy="2099310"/>
            <wp:effectExtent l="0" t="0" r="0" b="0"/>
            <wp:wrapTight wrapText="bothSides">
              <wp:wrapPolygon>
                <wp:start x="0" y="0"/>
                <wp:lineTo x="0" y="21430"/>
                <wp:lineTo x="21551" y="21430"/>
                <wp:lineTo x="21551" y="0"/>
                <wp:lineTo x="0" y="0"/>
              </wp:wrapPolygon>
            </wp:wrapTight>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3360420" cy="2099310"/>
                    </a:xfrm>
                    <a:prstGeom prst="rect">
                      <a:avLst/>
                    </a:prstGeom>
                    <a:noFill/>
                    <a:ln>
                      <a:noFill/>
                    </a:ln>
                  </pic:spPr>
                </pic:pic>
              </a:graphicData>
            </a:graphic>
          </wp:anchor>
        </w:drawing>
      </w:r>
    </w:p>
    <w:p w14:paraId="7BC409D5">
      <w:pPr>
        <w:spacing w:before="1420" w:after="280" w:line="480" w:lineRule="exact"/>
        <w:jc w:val="center"/>
      </w:pPr>
    </w:p>
    <w:p w14:paraId="0D9E9055">
      <w:pPr>
        <w:keepNext w:val="0"/>
        <w:keepLines w:val="0"/>
        <w:widowControl/>
        <w:suppressLineNumbers w:val="0"/>
        <w:jc w:val="center"/>
        <w:rPr>
          <w:rFonts w:ascii="瀹嬩綋" w:hAnsi="瀹嬩綋" w:eastAsia="瀹嬩綋" w:cs="瀹嬩綋"/>
          <w:b/>
          <w:bCs/>
          <w:color w:val="000000"/>
          <w:kern w:val="0"/>
          <w:sz w:val="44"/>
          <w:szCs w:val="44"/>
          <w:lang w:val="en-US" w:eastAsia="zh-CN" w:bidi="ar"/>
        </w:rPr>
      </w:pPr>
    </w:p>
    <w:p w14:paraId="0A46DC38">
      <w:pPr>
        <w:keepNext w:val="0"/>
        <w:keepLines w:val="0"/>
        <w:widowControl/>
        <w:suppressLineNumbers w:val="0"/>
        <w:ind w:firstLine="880" w:firstLineChars="200"/>
        <w:jc w:val="center"/>
      </w:pPr>
      <w:r>
        <w:rPr>
          <w:rFonts w:ascii="瀹嬩綋" w:hAnsi="瀹嬩綋" w:eastAsia="瀹嬩綋" w:cs="瀹嬩綋"/>
          <w:b/>
          <w:bCs/>
          <w:color w:val="000000"/>
          <w:kern w:val="0"/>
          <w:sz w:val="44"/>
          <w:szCs w:val="44"/>
          <w:lang w:val="en-US" w:eastAsia="zh-CN" w:bidi="ar"/>
        </w:rPr>
        <w:t>车载平衡</w:t>
      </w:r>
      <w:r>
        <w:rPr>
          <w:rFonts w:hint="eastAsia" w:ascii="宋体" w:hAnsi="宋体" w:eastAsia="宋体" w:cs="宋体"/>
          <w:b/>
          <w:bCs/>
          <w:color w:val="000000"/>
          <w:kern w:val="0"/>
          <w:sz w:val="44"/>
          <w:szCs w:val="44"/>
          <w:lang w:val="en-US" w:eastAsia="zh-CN" w:bidi="ar"/>
        </w:rPr>
        <w:t>滚球</w:t>
      </w:r>
      <w:r>
        <w:rPr>
          <w:rFonts w:hint="default" w:ascii="瀹嬩綋" w:hAnsi="瀹嬩綋" w:eastAsia="瀹嬩綋" w:cs="瀹嬩綋"/>
          <w:b/>
          <w:bCs/>
          <w:color w:val="000000"/>
          <w:kern w:val="0"/>
          <w:sz w:val="44"/>
          <w:szCs w:val="44"/>
          <w:lang w:val="en-US" w:eastAsia="zh-CN" w:bidi="ar"/>
        </w:rPr>
        <w:t>运动控制系统</w:t>
      </w:r>
      <w:r>
        <w:rPr>
          <w:rFonts w:hint="default" w:ascii="瀹嬩綋" w:hAnsi="瀹嬩綋" w:eastAsia="瀹嬩綋" w:cs="瀹嬩綋"/>
          <w:b/>
          <w:bCs/>
          <w:color w:val="000000"/>
          <w:kern w:val="0"/>
          <w:sz w:val="43"/>
          <w:szCs w:val="43"/>
          <w:lang w:val="en-US" w:eastAsia="zh-CN" w:bidi="ar"/>
        </w:rPr>
        <w:t>（</w:t>
      </w:r>
      <w:r>
        <w:rPr>
          <w:rFonts w:hint="eastAsia" w:ascii="黑体" w:hAnsi="黑体" w:eastAsia="黑体" w:cs="黑体"/>
          <w:b/>
          <w:bCs/>
          <w:color w:val="000000"/>
          <w:kern w:val="0"/>
          <w:sz w:val="43"/>
          <w:szCs w:val="43"/>
          <w:lang w:val="en-US" w:eastAsia="zh-CN" w:bidi="ar"/>
        </w:rPr>
        <w:t>H</w:t>
      </w:r>
      <w:r>
        <w:rPr>
          <w:rFonts w:hint="default" w:ascii="瀹嬩綋" w:hAnsi="瀹嬩綋" w:eastAsia="瀹嬩綋" w:cs="瀹嬩綋"/>
          <w:b/>
          <w:bCs/>
          <w:color w:val="000000"/>
          <w:kern w:val="0"/>
          <w:sz w:val="43"/>
          <w:szCs w:val="43"/>
          <w:lang w:val="en-US" w:eastAsia="zh-CN" w:bidi="ar"/>
        </w:rPr>
        <w:t xml:space="preserve"> 题）</w:t>
      </w:r>
    </w:p>
    <w:p w14:paraId="10E99E9F">
      <w:pPr>
        <w:bidi w:val="0"/>
        <w:rPr>
          <w:rFonts w:hint="eastAsia"/>
          <w:b w:val="0"/>
          <w:bCs/>
        </w:rPr>
      </w:pPr>
    </w:p>
    <w:p w14:paraId="5C586EC0">
      <w:pPr>
        <w:keepNext w:val="0"/>
        <w:keepLines w:val="0"/>
        <w:pageBreakBefore w:val="0"/>
        <w:widowControl/>
        <w:kinsoku/>
        <w:wordWrap/>
        <w:overflowPunct/>
        <w:topLinePunct w:val="0"/>
        <w:autoSpaceDE/>
        <w:autoSpaceDN/>
        <w:bidi w:val="0"/>
        <w:adjustRightInd/>
        <w:snapToGrid/>
        <w:textAlignment w:val="auto"/>
        <w:rPr>
          <w:rFonts w:hint="eastAsia"/>
          <w:b w:val="0"/>
          <w:bCs/>
        </w:rPr>
      </w:pPr>
    </w:p>
    <w:p w14:paraId="2795C8F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b w:val="0"/>
          <w:bCs/>
        </w:rPr>
      </w:pPr>
      <w:r>
        <w:rPr>
          <w:rFonts w:hint="eastAsia"/>
          <w:b w:val="0"/>
          <w:bCs/>
        </w:rPr>
        <w:t>摘  要  针对车载平衡滚球运动控制任务，设计了一套集环形赛道循迹、定距停车、钢球视觉检测与摆杆调节于一体的控制系统。系统以 MSPM0G3507 为底盘控制核心，采用四路红外反射传感器识别赛道黑线，并结合双轮编码器估计左右轮里程；K230 视觉模块检测摆杆凹槽内钢球位置，主控根据位置误差和速度估计输出步进摆杆目标。为统一第二题、第三题和第4/5/6问操作，新增五键选择入口，原任务控制参数与安全流程保持不变。独立功能保留编码器、摆杆标定及第三题静止闭环记录；最新统一映像已完整构建并通过主机回归测试。上述结论仅代表软件构建和主机逻辑验证，统一映像尚未烧录，也未进行电机实物验收。</w:t>
      </w:r>
    </w:p>
    <w:p w14:paraId="12F439DC">
      <w:pPr>
        <w:keepNext w:val="0"/>
        <w:keepLines w:val="0"/>
        <w:pageBreakBefore w:val="0"/>
        <w:widowControl/>
        <w:kinsoku/>
        <w:wordWrap/>
        <w:overflowPunct/>
        <w:topLinePunct w:val="0"/>
        <w:autoSpaceDE/>
        <w:autoSpaceDN/>
        <w:bidi w:val="0"/>
        <w:adjustRightInd/>
        <w:snapToGrid/>
        <w:textAlignment w:val="auto"/>
      </w:pPr>
    </w:p>
    <w:p w14:paraId="22659FB4">
      <w:pPr>
        <w:keepNext w:val="0"/>
        <w:keepLines w:val="0"/>
        <w:pageBreakBefore w:val="0"/>
        <w:widowControl/>
        <w:kinsoku/>
        <w:wordWrap/>
        <w:overflowPunct/>
        <w:topLinePunct w:val="0"/>
        <w:autoSpaceDE/>
        <w:autoSpaceDN/>
        <w:bidi w:val="0"/>
        <w:adjustRightInd/>
        <w:snapToGrid/>
        <w:ind w:firstLine="480" w:firstLineChars="200"/>
        <w:textAlignment w:val="auto"/>
      </w:pPr>
      <w:r>
        <w:t>关键词：车载平衡；红外循迹；双编码器；机器视觉；步进摆杆；分段标定</w:t>
      </w:r>
    </w:p>
    <w:p w14:paraId="6019FC42">
      <w:pPr>
        <w:sectPr>
          <w:pgSz w:w="11906" w:h="16838"/>
          <w:pgMar w:top="2835" w:right="1134" w:bottom="1020" w:left="1134" w:header="283" w:footer="397" w:gutter="0"/>
          <w:pgNumType w:start="0"/>
          <w:cols w:space="720" w:num="1"/>
          <w:docGrid w:linePitch="360" w:charSpace="0"/>
        </w:sectPr>
      </w:pPr>
    </w:p>
    <w:p w14:paraId="644BA567">
      <w:pPr>
        <w:pStyle w:val="3"/>
        <w:bidi w:val="0"/>
        <w:ind w:firstLine="602" w:firstLineChars="200"/>
        <w:rPr>
          <w:rFonts w:hint="eastAsia" w:ascii="宋体" w:hAnsi="宋体" w:eastAsia="宋体" w:cs="宋体"/>
          <w:szCs w:val="30"/>
        </w:rPr>
      </w:pPr>
      <w:r>
        <w:rPr>
          <w:rFonts w:hint="eastAsia"/>
        </w:rPr>
        <w:t>1  系统方案与方案论证</w:t>
      </w:r>
    </w:p>
    <w:p w14:paraId="4046DB1A">
      <w:pPr>
        <w:pStyle w:val="4"/>
        <w:bidi w:val="0"/>
        <w:ind w:firstLine="562" w:firstLineChars="200"/>
        <w:rPr>
          <w:rFonts w:hint="eastAsia"/>
        </w:rPr>
      </w:pPr>
      <w:r>
        <w:rPr>
          <w:rFonts w:hint="eastAsia"/>
        </w:rPr>
        <w:t>1.1  任务分析</w:t>
      </w:r>
    </w:p>
    <w:p w14:paraId="2333F33F">
      <w:pPr>
        <w:spacing w:before="0" w:after="0" w:line="440" w:lineRule="exact"/>
        <w:ind w:firstLine="480" w:firstLineChars="200"/>
        <w:rPr>
          <w:rFonts w:hint="eastAsia" w:ascii="宋体" w:hAnsi="宋体" w:eastAsia="宋体" w:cs="宋体"/>
        </w:rPr>
      </w:pPr>
      <w:r>
        <w:rPr>
          <w:rFonts w:hint="eastAsia" w:ascii="宋体" w:hAnsi="宋体" w:eastAsia="宋体" w:cs="宋体"/>
          <w:sz w:val="24"/>
        </w:rPr>
        <w:t>系统需完成</w:t>
      </w:r>
      <w:r>
        <w:rPr>
          <w:rFonts w:hint="eastAsia" w:cs="宋体"/>
          <w:sz w:val="24"/>
          <w:lang w:val="en-US" w:eastAsia="zh-CN"/>
        </w:rPr>
        <w:t>视频图传、</w:t>
      </w:r>
      <w:r>
        <w:rPr>
          <w:rFonts w:hint="eastAsia" w:ascii="宋体" w:hAnsi="宋体" w:eastAsia="宋体" w:cs="宋体"/>
          <w:sz w:val="24"/>
        </w:rPr>
        <w:t>环形赛道循迹、A 点附近定距停车和摆杆钢球位置控制。赛道循迹、里程估计、钢球检测和摆杆执行均在车载端完成；场外视频链路仅用于实时观察、录像与回放，不参与控制决策。环形路线由两段 1.5 m 直线和两个半径 0.5 m 的半圆组成，中心线一圈长度为：</w:t>
      </w:r>
    </w:p>
    <w:p w14:paraId="3BFEE77D">
      <w:pPr>
        <w:spacing w:before="40" w:after="40" w:line="36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S = 2×1.5 + 2π×0.5 = 6.1416 m</w:t>
      </w:r>
    </w:p>
    <w:p w14:paraId="6CD908D2">
      <w:pPr>
        <w:spacing w:before="0" w:after="0" w:line="440" w:lineRule="exact"/>
        <w:ind w:firstLine="480" w:firstLineChars="200"/>
        <w:rPr>
          <w:rFonts w:hint="eastAsia" w:ascii="宋体" w:hAnsi="宋体" w:eastAsia="宋体" w:cs="宋体"/>
        </w:rPr>
      </w:pPr>
      <w:r>
        <w:rPr>
          <w:rFonts w:hint="eastAsia" w:ascii="宋体" w:hAnsi="宋体" w:eastAsia="宋体" w:cs="宋体"/>
          <w:sz w:val="24"/>
        </w:rPr>
        <w:t>红外传感器负责连续循迹，双编码器作为停车主判据；在到达目标距离前的减速窗口内保持循迹并降低基准 PWM，以减小惯性引起的停车误差。</w:t>
      </w:r>
    </w:p>
    <w:p w14:paraId="5AE3FCFE">
      <w:pPr>
        <w:pStyle w:val="4"/>
        <w:bidi w:val="0"/>
        <w:ind w:firstLine="562" w:firstLineChars="200"/>
        <w:rPr>
          <w:rFonts w:hint="eastAsia"/>
        </w:rPr>
      </w:pPr>
      <w:r>
        <w:rPr>
          <w:rFonts w:hint="eastAsia"/>
        </w:rPr>
        <w:t>1.2  总体方案</w:t>
      </w:r>
    </w:p>
    <w:p w14:paraId="0E72E733">
      <w:pPr>
        <w:spacing w:before="0" w:after="0" w:line="440" w:lineRule="exact"/>
        <w:ind w:firstLine="480" w:firstLineChars="200"/>
        <w:rPr>
          <w:rFonts w:hint="eastAsia" w:ascii="宋体" w:hAnsi="宋体" w:eastAsia="宋体" w:cs="宋体"/>
        </w:rPr>
      </w:pPr>
      <w:r>
        <w:rPr>
          <w:rFonts w:hint="eastAsia" w:ascii="宋体" w:hAnsi="宋体" w:eastAsia="宋体" w:cs="宋体"/>
          <w:sz w:val="24"/>
        </w:rPr>
        <w:t>底盘控制层由 MSPM0G3507、双直流电机驱动、双轮编码器、四路红外反射传感器、实体启动键和计时显示组成。视觉层由 K230 摄像头和钢球检测程序组成，只向主控传送经筛选和校验后的横向坐标。执行层由闭环步进电机、连杆和单端铰接摆杆组成，主控输出受限的相对位置脉冲。</w:t>
      </w:r>
    </w:p>
    <w:p w14:paraId="6F26F508">
      <w:pPr>
        <w:spacing w:before="80" w:after="20"/>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图 2  系统总体框图</w:t>
      </w:r>
    </w:p>
    <w:p w14:paraId="398F0763">
      <w:pPr>
        <w:pStyle w:val="4"/>
        <w:bidi w:val="0"/>
        <w:ind w:firstLine="562" w:firstLineChars="200"/>
        <w:rPr>
          <w:rFonts w:hint="eastAsia"/>
        </w:rPr>
      </w:pPr>
      <w:r>
        <w:rPr>
          <w:rFonts w:hint="eastAsia"/>
        </w:rPr>
        <w:t>1.3  方案选择</w:t>
      </w:r>
    </w:p>
    <w:p w14:paraId="0D44EB0A">
      <w:pPr>
        <w:spacing w:before="0" w:after="0" w:line="440" w:lineRule="exact"/>
        <w:ind w:firstLine="480" w:firstLineChars="200"/>
        <w:rPr>
          <w:rFonts w:hint="eastAsia" w:ascii="宋体" w:hAnsi="宋体" w:eastAsia="宋体" w:cs="宋体"/>
        </w:rPr>
      </w:pPr>
      <w:r>
        <w:rPr>
          <w:rFonts w:hint="eastAsia" w:ascii="宋体" w:hAnsi="宋体" w:eastAsia="宋体" w:cs="宋体"/>
          <w:sz w:val="24"/>
        </w:rPr>
        <w:t>正式循迹采用四路红外反射式传感器。其离散状态描述黑线相对车体中心的位置，控制器据此生成左右轮差速 PWM。停车采用“循迹 + 编码器里程”组合策略：左右编码器分别换算为轮程并取平均，避免仅依赖终点横线造成误停。</w:t>
      </w:r>
    </w:p>
    <w:p w14:paraId="07305AC2">
      <w:pPr>
        <w:spacing w:before="0" w:after="0" w:line="440" w:lineRule="exact"/>
        <w:ind w:firstLine="480" w:firstLineChars="200"/>
        <w:rPr>
          <w:rFonts w:hint="eastAsia" w:cs="宋体"/>
          <w:sz w:val="24"/>
          <w:lang w:val="en-US" w:eastAsia="zh-CN"/>
        </w:rPr>
      </w:pPr>
      <w:r>
        <w:rPr>
          <w:rFonts w:hint="eastAsia" w:ascii="宋体" w:hAnsi="宋体" w:eastAsia="宋体" w:cs="宋体"/>
          <w:sz w:val="24"/>
        </w:rPr>
        <w:t>钢球位置由固定在车体支架上的摄像头检测。检测程序只保留摆杆凹槽感兴趣区域内的候选目标，并选择置信度最高者。摆杆采用单端铰接、另一端由步进电机连杆抬降的结构；控制器通过相邻实测标定点插值，而不使用单一“脉冲/度”常数。红外循迹与编码器停车负责车体纵向任务，K230 与步进摆杆负责钢球横向稳定，两类控制在主控安全状态机中统一协调。</w:t>
      </w:r>
    </w:p>
    <w:p>
      <w:pPr>
        <w:spacing w:before="160" w:after="60" w:line="240" w:lineRule="auto"/>
        <w:jc w:val="center"/>
      </w:pPr>
      <w:r>
        <w:drawing>
          <wp:inline xmlns:a="http://schemas.openxmlformats.org/drawingml/2006/main" xmlns:pic="http://schemas.openxmlformats.org/drawingml/2006/picture">
            <wp:extent cx="1818000" cy="1362967"/>
            <wp:docPr id="5" name="Picture 5"/>
            <wp:cNvGraphicFramePr>
              <a:graphicFrameLocks noChangeAspect="1"/>
            </wp:cNvGraphicFramePr>
            <a:graphic>
              <a:graphicData uri="http://schemas.openxmlformats.org/drawingml/2006/picture">
                <pic:pic>
                  <pic:nvPicPr>
                    <pic:cNvPr id="0" name="ef44c1e40934a17c793a0728cb256335.jpg"/>
                    <pic:cNvPicPr/>
                  </pic:nvPicPr>
                  <pic:blipFill>
                    <a:blip r:embed="rId14"/>
                    <a:stretch>
                      <a:fillRect/>
                    </a:stretch>
                  </pic:blipFill>
                  <pic:spPr>
                    <a:xfrm>
                      <a:off x="0" y="0"/>
                      <a:ext cx="1818000" cy="1362967"/>
                    </a:xfrm>
                    <a:prstGeom prst="rect"/>
                  </pic:spPr>
                </pic:pic>
              </a:graphicData>
            </a:graphic>
          </wp:inline>
        </w:drawing>
      </w:r>
      <w:r>
        <w:t xml:space="preserve"> </w:t>
      </w:r>
      <w:r>
        <w:drawing>
          <wp:inline xmlns:a="http://schemas.openxmlformats.org/drawingml/2006/main" xmlns:pic="http://schemas.openxmlformats.org/drawingml/2006/picture">
            <wp:extent cx="1818000" cy="1362967"/>
            <wp:docPr id="6" name="Picture 6"/>
            <wp:cNvGraphicFramePr>
              <a:graphicFrameLocks noChangeAspect="1"/>
            </wp:cNvGraphicFramePr>
            <a:graphic>
              <a:graphicData uri="http://schemas.openxmlformats.org/drawingml/2006/picture">
                <pic:pic>
                  <pic:nvPicPr>
                    <pic:cNvPr id="0" name="49bb51cbe0ca96ca6a0fa39a2160aa8d.jpg"/>
                    <pic:cNvPicPr/>
                  </pic:nvPicPr>
                  <pic:blipFill>
                    <a:blip r:embed="rId15"/>
                    <a:stretch>
                      <a:fillRect/>
                    </a:stretch>
                  </pic:blipFill>
                  <pic:spPr>
                    <a:xfrm>
                      <a:off x="0" y="0"/>
                      <a:ext cx="1818000" cy="1362967"/>
                    </a:xfrm>
                    <a:prstGeom prst="rect"/>
                  </pic:spPr>
                </pic:pic>
              </a:graphicData>
            </a:graphic>
          </wp:inline>
        </w:drawing>
      </w:r>
      <w:r>
        <w:t xml:space="preserve"> </w:t>
      </w:r>
      <w:r>
        <w:drawing>
          <wp:inline xmlns:a="http://schemas.openxmlformats.org/drawingml/2006/main" xmlns:pic="http://schemas.openxmlformats.org/drawingml/2006/picture">
            <wp:extent cx="1818000" cy="1363500"/>
            <wp:docPr id="7" name="Picture 7"/>
            <wp:cNvGraphicFramePr>
              <a:graphicFrameLocks noChangeAspect="1"/>
            </wp:cNvGraphicFramePr>
            <a:graphic>
              <a:graphicData uri="http://schemas.openxmlformats.org/drawingml/2006/picture">
                <pic:pic>
                  <pic:nvPicPr>
                    <pic:cNvPr id="0" name="9ec645fe7d8fe51b08c47bf35ff10f9f.jpg"/>
                    <pic:cNvPicPr/>
                  </pic:nvPicPr>
                  <pic:blipFill>
                    <a:blip r:embed="rId16"/>
                    <a:stretch>
                      <a:fillRect/>
                    </a:stretch>
                  </pic:blipFill>
                  <pic:spPr>
                    <a:xfrm>
                      <a:off x="0" y="0"/>
                      <a:ext cx="1818000" cy="1363500"/>
                    </a:xfrm>
                    <a:prstGeom prst="rect"/>
                  </pic:spPr>
                </pic:pic>
              </a:graphicData>
            </a:graphic>
          </wp:inline>
        </w:drawing>
      </w:r>
    </w:p>
    <w:p>
      <w:pPr>
        <w:spacing w:before="0" w:after="60"/>
        <w:ind w:firstLine="0"/>
        <w:jc w:val="center"/>
      </w:pPr>
      <w:r>
        <w:rPr>
          <w:rFonts w:ascii="Songti SC" w:hAnsi="Songti SC" w:eastAsia="宋体"/>
          <w:color w:val="000000"/>
          <w:sz w:val="21"/>
        </w:rPr>
        <w:t>（a）整车与摆杆　　　（b）步进及电控布置　　　（c）LF04 循迹模块</w:t>
      </w:r>
    </w:p>
    <w:p>
      <w:pPr>
        <w:spacing w:before="0" w:after="60"/>
        <w:ind w:firstLine="0"/>
        <w:jc w:val="center"/>
      </w:pPr>
      <w:r>
        <w:rPr>
          <w:rFonts w:ascii="Songti SC" w:hAnsi="Songti SC" w:eastAsia="宋体"/>
          <w:color w:val="000000"/>
          <w:sz w:val="21"/>
        </w:rPr>
        <w:t>图 1  系统实物结构图</w:t>
      </w:r>
    </w:p>
    <w:p>
      <w:pPr>
        <w:spacing w:before="80" w:after="80"/>
        <w:ind w:firstLine="0"/>
        <w:jc w:val="center"/>
      </w:pPr>
      <w:r>
        <w:rPr>
          <w:rFonts w:ascii="Songti SC" w:hAnsi="Songti SC" w:eastAsia="Songti SC"/>
          <w:color w:val="821E1E"/>
          <w:sz w:val="21"/>
        </w:rPr>
        <w:t>【可选补充：左右轮编码器近照，建议标出安装位置与两路信号线；无该照片不影响当前报告结构。】</w:t>
      </w:r>
    </w:p>
    <w:p w14:paraId="5BC0B7AC">
      <w:pPr>
        <w:spacing w:before="0" w:after="0" w:line="240" w:lineRule="auto"/>
        <w:rPr>
          <w:rFonts w:hint="eastAsia" w:cs="宋体"/>
          <w:sz w:val="24"/>
          <w:lang w:val="en-US" w:eastAsia="zh-CN"/>
        </w:rPr>
        <w:sectPr>
          <w:footerReference r:id="rId5" w:type="default"/>
          <w:pgSz w:w="11906" w:h="16838"/>
          <w:pgMar w:top="1701" w:right="1134" w:bottom="1020" w:left="1134" w:header="283" w:footer="397" w:gutter="0"/>
          <w:pgNumType w:start="1"/>
          <w:cols w:space="720" w:num="1"/>
          <w:docGrid w:linePitch="360" w:charSpace="0"/>
        </w:sectPr>
      </w:pPr>
    </w:p>
    <w:p w14:paraId="08F0C256">
      <w:pPr>
        <w:pStyle w:val="3"/>
        <w:bidi w:val="0"/>
        <w:ind w:firstLine="602" w:firstLineChars="200"/>
      </w:pPr>
      <w:r>
        <w:t>2  控制理论与关键计算</w:t>
      </w:r>
    </w:p>
    <w:p w14:paraId="72F98F3C">
      <w:pPr>
        <w:pStyle w:val="4"/>
        <w:bidi w:val="0"/>
        <w:ind w:firstLine="562" w:firstLineChars="200"/>
      </w:pPr>
      <w:r>
        <w:t>2.1  循迹与定距停车</w:t>
      </w:r>
    </w:p>
    <w:p w14:paraId="74FFBD37">
      <w:pPr>
        <w:bidi w:val="0"/>
        <w:ind w:firstLine="480" w:firstLineChars="200"/>
      </w:pPr>
      <w:r>
        <w:t>以黑线为低电平、白底为高电平为例，四路红外状态被映射为左偏、居中、右偏和严重偏离等类别。居中时两轮以基准 PWM 前进；偏差增大时提高内外轮 PWM 差并适当降低总占空比。离散横向误差记为 e</w:t>
      </w:r>
      <w:r>
        <w:rPr>
          <w:vertAlign w:val="subscript"/>
        </w:rPr>
        <w:t>l</w:t>
      </w:r>
      <w:r>
        <w:t>，则差速修正可表示为：</w:t>
      </w:r>
    </w:p>
    <w:p w14:paraId="5AF5E328">
      <w:pPr>
        <w:bidi w:val="0"/>
        <w:ind w:firstLine="480" w:firstLineChars="200"/>
        <w:jc w:val="center"/>
      </w:pPr>
      <w:r>
        <w:t>u</w:t>
      </w:r>
      <w:r>
        <w:rPr>
          <w:vertAlign w:val="subscript"/>
        </w:rPr>
        <w:t>l</w:t>
      </w:r>
      <w:r>
        <w:t xml:space="preserve"> = K</w:t>
      </w:r>
      <w:r>
        <w:rPr>
          <w:vertAlign w:val="subscript"/>
        </w:rPr>
        <w:t>l</w:t>
      </w:r>
      <w:r>
        <w:t>e</w:t>
      </w:r>
      <w:r>
        <w:rPr>
          <w:vertAlign w:val="subscript"/>
        </w:rPr>
        <w:t>l</w:t>
      </w:r>
      <w:r>
        <w:t>；  PWM</w:t>
      </w:r>
      <w:r>
        <w:rPr>
          <w:vertAlign w:val="subscript"/>
        </w:rPr>
        <w:t>L</w:t>
      </w:r>
      <w:r>
        <w:t xml:space="preserve"> = PWM</w:t>
      </w:r>
      <w:r>
        <w:rPr>
          <w:vertAlign w:val="subscript"/>
        </w:rPr>
        <w:t>0</w:t>
      </w:r>
      <w:r>
        <w:t xml:space="preserve"> − u</w:t>
      </w:r>
      <w:r>
        <w:rPr>
          <w:vertAlign w:val="subscript"/>
        </w:rPr>
        <w:t>l</w:t>
      </w:r>
      <w:r>
        <w:t>，PWM</w:t>
      </w:r>
      <w:r>
        <w:rPr>
          <w:vertAlign w:val="subscript"/>
        </w:rPr>
        <w:t>R</w:t>
      </w:r>
      <w:r>
        <w:t xml:space="preserve"> = PWM</w:t>
      </w:r>
      <w:r>
        <w:rPr>
          <w:vertAlign w:val="subscript"/>
        </w:rPr>
        <w:t>0</w:t>
      </w:r>
      <w:r>
        <w:t xml:space="preserve"> + u</w:t>
      </w:r>
      <w:r>
        <w:rPr>
          <w:vertAlign w:val="subscript"/>
        </w:rPr>
        <w:t>l</w:t>
      </w:r>
    </w:p>
    <w:p w14:paraId="474A3DC5">
      <w:pPr>
        <w:bidi w:val="0"/>
        <w:ind w:firstLine="480" w:firstLineChars="200"/>
      </w:pPr>
      <w:r>
        <w:t>设左右轮累计脉冲为 N</w:t>
      </w:r>
      <w:r>
        <w:rPr>
          <w:vertAlign w:val="subscript"/>
        </w:rPr>
        <w:t>L</w:t>
      </w:r>
      <w:r>
        <w:t>、N</w:t>
      </w:r>
      <w:r>
        <w:rPr>
          <w:vertAlign w:val="subscript"/>
        </w:rPr>
        <w:t>R</w:t>
      </w:r>
      <w:r>
        <w:t>，标定系数为 C</w:t>
      </w:r>
      <w:r>
        <w:rPr>
          <w:vertAlign w:val="subscript"/>
        </w:rPr>
        <w:t>L</w:t>
      </w:r>
      <w:r>
        <w:t>、C</w:t>
      </w:r>
      <w:r>
        <w:rPr>
          <w:vertAlign w:val="subscript"/>
        </w:rPr>
        <w:t>R</w:t>
      </w:r>
      <w:r>
        <w:t>，则 d</w:t>
      </w:r>
      <w:r>
        <w:rPr>
          <w:vertAlign w:val="subscript"/>
        </w:rPr>
        <w:t>L</w:t>
      </w:r>
      <w:r>
        <w:t>=|N</w:t>
      </w:r>
      <w:r>
        <w:rPr>
          <w:vertAlign w:val="subscript"/>
        </w:rPr>
        <w:t>L</w:t>
      </w:r>
      <w:r>
        <w:t>|/C</w:t>
      </w:r>
      <w:r>
        <w:rPr>
          <w:vertAlign w:val="subscript"/>
        </w:rPr>
        <w:t>L</w:t>
      </w:r>
      <w:r>
        <w:t>，d</w:t>
      </w:r>
      <w:r>
        <w:rPr>
          <w:vertAlign w:val="subscript"/>
        </w:rPr>
        <w:t>R</w:t>
      </w:r>
      <w:r>
        <w:t>=|N</w:t>
      </w:r>
      <w:r>
        <w:rPr>
          <w:vertAlign w:val="subscript"/>
        </w:rPr>
        <w:t>R</w:t>
      </w:r>
      <w:r>
        <w:t>|/C</w:t>
      </w:r>
      <w:r>
        <w:rPr>
          <w:vertAlign w:val="subscript"/>
        </w:rPr>
        <w:t>R</w:t>
      </w:r>
      <w:r>
        <w:t>，车辆累计里程 d=(d</w:t>
      </w:r>
      <w:r>
        <w:rPr>
          <w:vertAlign w:val="subscript"/>
        </w:rPr>
        <w:t>L</w:t>
      </w:r>
      <w:r>
        <w:t>+d</w:t>
      </w:r>
      <w:r>
        <w:rPr>
          <w:vertAlign w:val="subscript"/>
        </w:rPr>
        <w:t>R</w:t>
      </w:r>
      <w:r>
        <w:t>)/2。停车点位于 A 点前方时增加目标里程，越过 A 点时减小目标里程；每轮调整只修改停车距离，不同时修改循迹参数。</w:t>
      </w:r>
    </w:p>
    <w:p w14:paraId="532200BD">
      <w:pPr>
        <w:pStyle w:val="4"/>
        <w:bidi w:val="0"/>
        <w:ind w:firstLine="562" w:firstLineChars="200"/>
      </w:pPr>
      <w:r>
        <w:t>2.2  视觉标定、PD 与分段插值</w:t>
      </w:r>
    </w:p>
    <w:p w14:paraId="2B0DE3F1">
      <w:pPr>
        <w:bidi w:val="0"/>
        <w:ind w:firstLine="480" w:firstLineChars="200"/>
      </w:pPr>
      <w:r>
        <w:t>现场三点标定得到钢球处于 −5 cm、0 cm、+5 cm 时的完整画面横坐标分别为 84 px、149 px、208 px。控制零点取实测的 149 px；负、正两侧比例分别为 13.0 px/cm 和 11.8 px/cm。静止往返测试的目标设为 +59 px 和 −65 px。</w:t>
      </w:r>
    </w:p>
    <w:p w14:paraId="593F8EED">
      <w:pPr>
        <w:bidi w:val="0"/>
        <w:ind w:firstLine="480" w:firstLineChars="200"/>
      </w:pPr>
      <w:r>
        <w:rPr>
          <w:rFonts w:ascii="Songti SC" w:hAnsi="Songti SC" w:eastAsia="宋体"/>
          <w:sz w:val="24"/>
          <w:vertAlign w:val="subscript"/>
        </w:rPr>
        <w:t>钢球位置误差 e=xref−xball，摆杆目标角为 θref=clamp(Kpe−Kdẋball, θmin, θmax)。相邻有效视觉帧用于估计速度；目标角在相邻标定点间插值得到相对 POS 增量，并限制在 −132 至 +132 脉冲。实际电机目标为人工保存的水平参考位置与该相对增量之和。串口接收侧同时检查帧头、序号、校验和与超时；数据无效时不沿用旧目标，而是进入安全处理。</w:t>
      </w:r>
    </w:p>
    <w:p>
      <w:pPr>
        <w:spacing w:before="60" w:after="40" w:line="240" w:lineRule="auto"/>
        <w:jc w:val="center"/>
      </w:pPr>
      <w:r>
        <w:drawing>
          <wp:inline xmlns:a="http://schemas.openxmlformats.org/drawingml/2006/main" xmlns:pic="http://schemas.openxmlformats.org/drawingml/2006/picture">
            <wp:extent cx="3311999" cy="2159999"/>
            <wp:docPr id="8" name="Picture 8"/>
            <wp:cNvGraphicFramePr>
              <a:graphicFrameLocks noChangeAspect="1"/>
            </wp:cNvGraphicFramePr>
            <a:graphic>
              <a:graphicData uri="http://schemas.openxmlformats.org/drawingml/2006/picture">
                <pic:pic>
                  <pic:nvPicPr>
                    <pic:cNvPr id="0" name="Codex 图像 2026年8月1日 18_40_56.png"/>
                    <pic:cNvPicPr/>
                  </pic:nvPicPr>
                  <pic:blipFill>
                    <a:blip r:embed="rId17"/>
                    <a:stretch>
                      <a:fillRect/>
                    </a:stretch>
                  </pic:blipFill>
                  <pic:spPr>
                    <a:xfrm>
                      <a:off x="0" y="0"/>
                      <a:ext cx="3311999" cy="2159999"/>
                    </a:xfrm>
                    <a:prstGeom prst="rect"/>
                  </pic:spPr>
                </pic:pic>
              </a:graphicData>
            </a:graphic>
          </wp:inline>
        </w:drawing>
      </w:r>
    </w:p>
    <w:p>
      <w:pPr>
        <w:spacing w:before="0" w:after="60"/>
        <w:ind w:firstLine="0"/>
        <w:jc w:val="center"/>
      </w:pPr>
      <w:r>
        <w:rPr>
          <w:rFonts w:ascii="Songti SC" w:hAnsi="Songti SC" w:eastAsia="宋体"/>
          <w:color w:val="000000"/>
          <w:sz w:val="21"/>
        </w:rPr>
        <w:t>图 3  K230 钢球检测与位置偏差显示</w:t>
      </w:r>
    </w:p>
    <w:p>
      <w:pPr>
        <w:spacing w:before="80" w:after="80"/>
        <w:ind w:firstLine="0"/>
        <w:jc w:val="center"/>
        <w:pBdr>
          <w:bottom w:val="single" w:sz="4" w:space="2" w:color="B7B7B7"/>
        </w:pBdr>
      </w:pPr>
      <w:r>
        <w:rPr>
          <w:rFonts w:ascii="Songti SC" w:hAnsi="Songti SC" w:eastAsia="Songti SC"/>
          <w:color w:val="821E1E"/>
          <w:sz w:val="21"/>
        </w:rPr>
        <w:t>【建议补充：一帧 K230 串口原始报文与主控解析结果截图，用于支撑帧头、序号、校验和及超时处理说明。】</w:t>
      </w:r>
    </w:p>
    <w:p w14:paraId="0996FE83">
      <w:pPr>
        <w:spacing w:before="80" w:after="20"/>
        <w:ind w:firstLine="480" w:firstLineChars="200"/>
        <w:jc w:val="center"/>
      </w:pPr>
      <w:r>
        <w:drawing>
          <wp:anchor distT="0" distB="0" distL="114300" distR="114300" simplePos="0" relativeHeight="251660288" behindDoc="0" locked="0" layoutInCell="1" allowOverlap="1">
            <wp:simplePos x="0" y="0"/>
            <wp:positionH relativeFrom="column">
              <wp:posOffset>280035</wp:posOffset>
            </wp:positionH>
            <wp:positionV relativeFrom="paragraph">
              <wp:posOffset>265430</wp:posOffset>
            </wp:positionV>
            <wp:extent cx="5723890" cy="1589405"/>
            <wp:effectExtent l="0" t="0" r="3810" b="1079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24000" cy="1590000"/>
                    </a:xfrm>
                    <a:prstGeom prst="rect">
                      <a:avLst/>
                    </a:prstGeom>
                  </pic:spPr>
                </pic:pic>
              </a:graphicData>
            </a:graphic>
          </wp:anchor>
        </w:drawing>
      </w:r>
    </w:p>
    <w:p w14:paraId="45AC3EDB">
      <w:pPr>
        <w:spacing w:before="0" w:after="40" w:line="300" w:lineRule="exact"/>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图 4  视觉—摆杆闭环状态流程</w:t>
      </w:r>
    </w:p>
    <w:p w14:paraId="2B6CD296">
      <w:pPr>
        <w:sectPr>
          <w:pgSz w:w="11906" w:h="16838"/>
          <w:pgMar w:top="1701" w:right="1134" w:bottom="1020" w:left="1134" w:header="283" w:footer="397" w:gutter="0"/>
          <w:cols w:space="720" w:num="1"/>
          <w:docGrid w:linePitch="360" w:charSpace="0"/>
        </w:sectPr>
      </w:pPr>
    </w:p>
    <w:p w14:paraId="09696742">
      <w:pPr>
        <w:pStyle w:val="3"/>
        <w:bidi w:val="0"/>
        <w:ind w:firstLine="602" w:firstLineChars="200"/>
      </w:pPr>
      <w:r>
        <w:t>3  硬件与程序设计</w:t>
      </w:r>
    </w:p>
    <w:p w14:paraId="1AC83584">
      <w:pPr>
        <w:pStyle w:val="4"/>
        <w:bidi w:val="0"/>
        <w:ind w:firstLine="562" w:firstLineChars="200"/>
      </w:pPr>
      <w:r>
        <w:t>3.1  硬件与安全边界</w:t>
      </w:r>
    </w:p>
    <w:p w14:paraId="55A2EDB1">
      <w:pPr>
        <w:bidi w:val="0"/>
        <w:ind w:firstLine="480" w:firstLineChars="200"/>
      </w:pPr>
      <w:r>
        <w:t>底盘由 TB6612 双路电机驱动和双相编码器构成；四路红外传感器采用 3.3 V 供电并接入主控 GPIO，避免 5 V 输出直接进入 MSPM0G3507。左右编码器分别接入定时器捕获通道，TB6612 的方向端和双路 PWM 由主控输出。摆杆使用闭环步进电机、专用驱动器和单端铰接机构，步进部分与车轮驱动分开供电；K230 与主控采用单向 UART 并共地，视频图传与控制视觉分离。S1～S5 和 OLED 由统一选择程序管理，任务入口内部仍保留原有控制节拍。</w:t>
      </w:r>
    </w:p>
    <w:p w14:paraId="62B81CC7">
      <w:pPr>
        <w:bidi w:val="0"/>
        <w:ind w:firstLine="480" w:firstLineChars="200"/>
      </w:pPr>
      <w:r>
        <w:t>上电默认不驱动车轮和步进机构，必须由实体按键确认。统一选择页中 S2、S3、S4 分别选择第二题、第三题和第4/5/6问，S1确认，S5保留；进入任务前等待 S1 稳定释放，避免把选择确认误认为任务启动。视觉无效或通信超时后，摆杆转入安全处理；循迹丢失、编码器异常、运行超时或供电异常时，底盘受控停车，运行中 S1 具有最高优先级急停权限。</w:t>
      </w:r>
    </w:p>
    <w:p w14:paraId="4BEC32F7">
      <w:pPr>
        <w:pStyle w:val="4"/>
        <w:bidi w:val="0"/>
        <w:ind w:firstLine="562" w:firstLineChars="200"/>
      </w:pPr>
      <w:r>
        <w:t>3.2  统一选择与联合控制程序</w:t>
      </w:r>
    </w:p>
    <w:p w14:paraId="19767D21">
      <w:pPr>
        <w:bidi w:val="0"/>
        <w:ind w:firstLine="480" w:firstLineChars="200"/>
      </w:pPr>
      <w:r>
        <w:t>统一层只调用 Task2_run()、Task3_run() 或 Joint456_run()，进入后由原任务完整接管按键、标定和安全流程。静止控球程序以保存的水平位置为参考，执行 0→+5 cm→−5 cm 目标切换。联合程序的前三次 S1 依次用于调平解锁、步进抬升和保存水平/钢球零点，第四次 S1 后才执行预倾、PWM预升与循迹；运行中再次按 S1 立即急停。车轮采用巡线 PD 与 S 曲线速度参考生成开环 PWM，编码器用于测速、加速度前馈与异常检测，不参与车轮速度 PID。</w:t>
      </w:r>
    </w:p>
    <w:p w14:paraId="60847A1F">
      <w:pPr>
        <w:spacing w:before="80" w:after="20"/>
        <w:jc w:val="center"/>
      </w:pPr>
    </w:p>
    <w:p>
      <w:pPr>
        <w:spacing w:before="60" w:after="60" w:line="240" w:lineRule="auto"/>
        <w:jc w:val="center"/>
      </w:pPr>
      <w:r>
        <w:drawing>
          <wp:inline xmlns:a="http://schemas.openxmlformats.org/drawingml/2006/main" xmlns:pic="http://schemas.openxmlformats.org/drawingml/2006/picture">
            <wp:extent cx="5688000" cy="19592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88000" cy="1959200"/>
                    </a:xfrm>
                    <a:prstGeom prst="rect"/>
                  </pic:spPr>
                </pic:pic>
              </a:graphicData>
            </a:graphic>
          </wp:inline>
        </w:drawing>
      </w:r>
    </w:p>
    <w:p w14:paraId="3953BFD8">
      <w:pPr>
        <w:spacing w:before="0" w:after="40" w:line="300" w:lineRule="exact"/>
        <w:ind w:firstLine="420" w:firstLineChars="200"/>
        <w:jc w:val="center"/>
      </w:pPr>
      <w:r>
        <w:rPr>
          <w:rFonts w:hint="eastAsia" w:ascii="宋体" w:hAnsi="宋体" w:eastAsia="宋体" w:cs="宋体"/>
          <w:sz w:val="21"/>
          <w:szCs w:val="21"/>
        </w:rPr>
        <w:t>图 5  联合循迹与平衡控制流程</w:t>
      </w:r>
    </w:p>
    <w:p w14:paraId="202F5404">
      <w:pPr>
        <w:sectPr>
          <w:pgSz w:w="11906" w:h="16838"/>
          <w:pgMar w:top="1701" w:right="1134" w:bottom="1020" w:left="1134" w:header="283" w:footer="397" w:gutter="0"/>
          <w:cols w:space="720" w:num="1"/>
          <w:docGrid w:linePitch="360" w:charSpace="0"/>
        </w:sectPr>
      </w:pPr>
    </w:p>
    <w:p w14:paraId="6FBEA9FB">
      <w:pPr>
        <w:pStyle w:val="3"/>
        <w:bidi w:val="0"/>
        <w:ind w:firstLine="602" w:firstLineChars="200"/>
      </w:pPr>
      <w:r>
        <w:t>4  测试方案、状态边界与结果分析</w:t>
      </w:r>
    </w:p>
    <w:p w14:paraId="26EF7357">
      <w:pPr>
        <w:pStyle w:val="4"/>
        <w:bidi w:val="0"/>
        <w:ind w:firstLine="562" w:firstLineChars="200"/>
      </w:pPr>
      <w:r>
        <w:t>4.1  双编码器直线标定</w:t>
      </w:r>
    </w:p>
    <w:p w14:paraId="3EAAE9DB">
      <w:pPr>
        <w:bidi w:val="0"/>
        <w:ind w:firstLine="480" w:firstLineChars="200"/>
      </w:pPr>
      <w:r>
        <w:t>本节先列出独立功能阶段的可追溯标定与闭环数据，再单独说明统一映像的软件验证状态。前者用于说明控制依据，不等同于统一映像的烧录或实物验收。直线场地上以同一车体参考点量取实际行驶距离并记录短刹后的左右编码器累计脉冲，该测试仅用于建立左右轮里程换算关系，不等同于完整环形赛道停车结果。</w:t>
      </w:r>
    </w:p>
    <w:tbl>
      <w:tblPr>
        <w:tblStyle w:val="33"/>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1276"/>
        <w:gridCol w:w="1134"/>
        <w:gridCol w:w="1134"/>
        <w:gridCol w:w="1587"/>
        <w:gridCol w:w="1616"/>
      </w:tblGrid>
      <w:tr w14:paraId="4AB0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shd w:val="clear" w:color="auto" w:fill="E6E6E6"/>
            <w:tcMar>
              <w:top w:w="70" w:type="dxa"/>
              <w:left w:w="90" w:type="dxa"/>
              <w:bottom w:w="70" w:type="dxa"/>
              <w:right w:w="90" w:type="dxa"/>
            </w:tcMar>
            <w:vAlign w:val="center"/>
          </w:tcPr>
          <w:p w14:paraId="7812BF5C">
            <w:pPr>
              <w:spacing w:after="0" w:line="260" w:lineRule="exact"/>
              <w:jc w:val="center"/>
              <w:rPr>
                <w:rFonts w:hint="eastAsia" w:ascii="宋体" w:hAnsi="宋体" w:eastAsia="宋体" w:cs="宋体"/>
              </w:rPr>
            </w:pPr>
            <w:r>
              <w:rPr>
                <w:rFonts w:hint="eastAsia" w:ascii="宋体" w:hAnsi="宋体" w:eastAsia="宋体" w:cs="宋体"/>
                <w:b/>
                <w:sz w:val="18"/>
              </w:rPr>
              <w:t>次数</w:t>
            </w:r>
          </w:p>
        </w:tc>
        <w:tc>
          <w:tcPr>
            <w:tcW w:w="1276" w:type="dxa"/>
            <w:shd w:val="clear" w:color="auto" w:fill="E6E6E6"/>
            <w:tcMar>
              <w:top w:w="70" w:type="dxa"/>
              <w:left w:w="90" w:type="dxa"/>
              <w:bottom w:w="70" w:type="dxa"/>
              <w:right w:w="90" w:type="dxa"/>
            </w:tcMar>
            <w:vAlign w:val="center"/>
          </w:tcPr>
          <w:p w14:paraId="09FB7878">
            <w:pPr>
              <w:spacing w:after="0" w:line="260" w:lineRule="exact"/>
              <w:jc w:val="center"/>
              <w:rPr>
                <w:rFonts w:hint="eastAsia" w:ascii="宋体" w:hAnsi="宋体" w:eastAsia="宋体" w:cs="宋体"/>
              </w:rPr>
            </w:pPr>
            <w:r>
              <w:rPr>
                <w:rFonts w:hint="eastAsia" w:ascii="宋体" w:hAnsi="宋体" w:eastAsia="宋体" w:cs="宋体"/>
                <w:b/>
                <w:sz w:val="18"/>
              </w:rPr>
              <w:t>实际距离/cm</w:t>
            </w:r>
          </w:p>
        </w:tc>
        <w:tc>
          <w:tcPr>
            <w:tcW w:w="1134" w:type="dxa"/>
            <w:shd w:val="clear" w:color="auto" w:fill="E6E6E6"/>
            <w:tcMar>
              <w:top w:w="70" w:type="dxa"/>
              <w:left w:w="90" w:type="dxa"/>
              <w:bottom w:w="70" w:type="dxa"/>
              <w:right w:w="90" w:type="dxa"/>
            </w:tcMar>
            <w:vAlign w:val="center"/>
          </w:tcPr>
          <w:p w14:paraId="4618EE68">
            <w:pPr>
              <w:spacing w:after="0" w:line="260" w:lineRule="exact"/>
              <w:jc w:val="center"/>
              <w:rPr>
                <w:rFonts w:hint="eastAsia" w:ascii="宋体" w:hAnsi="宋体" w:eastAsia="宋体" w:cs="宋体"/>
              </w:rPr>
            </w:pPr>
            <w:r>
              <w:rPr>
                <w:rFonts w:hint="eastAsia" w:ascii="宋体" w:hAnsi="宋体" w:eastAsia="宋体" w:cs="宋体"/>
                <w:b/>
                <w:sz w:val="18"/>
              </w:rPr>
              <w:t>左轮脉冲</w:t>
            </w:r>
          </w:p>
        </w:tc>
        <w:tc>
          <w:tcPr>
            <w:tcW w:w="1134" w:type="dxa"/>
            <w:shd w:val="clear" w:color="auto" w:fill="E6E6E6"/>
            <w:tcMar>
              <w:top w:w="70" w:type="dxa"/>
              <w:left w:w="90" w:type="dxa"/>
              <w:bottom w:w="70" w:type="dxa"/>
              <w:right w:w="90" w:type="dxa"/>
            </w:tcMar>
            <w:vAlign w:val="center"/>
          </w:tcPr>
          <w:p w14:paraId="412517F3">
            <w:pPr>
              <w:spacing w:after="0" w:line="260" w:lineRule="exact"/>
              <w:jc w:val="center"/>
              <w:rPr>
                <w:rFonts w:hint="eastAsia" w:ascii="宋体" w:hAnsi="宋体" w:eastAsia="宋体" w:cs="宋体"/>
              </w:rPr>
            </w:pPr>
            <w:r>
              <w:rPr>
                <w:rFonts w:hint="eastAsia" w:ascii="宋体" w:hAnsi="宋体" w:eastAsia="宋体" w:cs="宋体"/>
                <w:b/>
                <w:sz w:val="18"/>
              </w:rPr>
              <w:t>右轮脉冲</w:t>
            </w:r>
          </w:p>
        </w:tc>
        <w:tc>
          <w:tcPr>
            <w:tcW w:w="1587" w:type="dxa"/>
            <w:shd w:val="clear" w:color="auto" w:fill="E6E6E6"/>
            <w:tcMar>
              <w:top w:w="70" w:type="dxa"/>
              <w:left w:w="90" w:type="dxa"/>
              <w:bottom w:w="70" w:type="dxa"/>
              <w:right w:w="90" w:type="dxa"/>
            </w:tcMar>
            <w:vAlign w:val="center"/>
          </w:tcPr>
          <w:p w14:paraId="0BBD1204">
            <w:pPr>
              <w:spacing w:after="0" w:line="260" w:lineRule="exact"/>
              <w:jc w:val="center"/>
              <w:rPr>
                <w:rFonts w:hint="eastAsia" w:ascii="宋体" w:hAnsi="宋体" w:eastAsia="宋体" w:cs="宋体"/>
              </w:rPr>
            </w:pPr>
            <w:r>
              <w:rPr>
                <w:rFonts w:hint="eastAsia" w:ascii="宋体" w:hAnsi="宋体" w:eastAsia="宋体" w:cs="宋体"/>
                <w:b/>
                <w:sz w:val="18"/>
              </w:rPr>
              <w:t>左轮脉冲/cm</w:t>
            </w:r>
          </w:p>
        </w:tc>
        <w:tc>
          <w:tcPr>
            <w:tcW w:w="1616" w:type="dxa"/>
            <w:shd w:val="clear" w:color="auto" w:fill="E6E6E6"/>
            <w:tcMar>
              <w:top w:w="70" w:type="dxa"/>
              <w:left w:w="90" w:type="dxa"/>
              <w:bottom w:w="70" w:type="dxa"/>
              <w:right w:w="90" w:type="dxa"/>
            </w:tcMar>
            <w:vAlign w:val="center"/>
          </w:tcPr>
          <w:p w14:paraId="179D2526">
            <w:pPr>
              <w:spacing w:after="0" w:line="260" w:lineRule="exact"/>
              <w:jc w:val="center"/>
              <w:rPr>
                <w:rFonts w:hint="eastAsia" w:ascii="宋体" w:hAnsi="宋体" w:eastAsia="宋体" w:cs="宋体"/>
              </w:rPr>
            </w:pPr>
            <w:r>
              <w:rPr>
                <w:rFonts w:hint="eastAsia" w:ascii="宋体" w:hAnsi="宋体" w:eastAsia="宋体" w:cs="宋体"/>
                <w:b/>
                <w:sz w:val="18"/>
              </w:rPr>
              <w:t>右轮脉冲/cm</w:t>
            </w:r>
          </w:p>
        </w:tc>
      </w:tr>
      <w:tr w14:paraId="4F00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64E972D3">
            <w:pPr>
              <w:spacing w:after="0" w:line="260" w:lineRule="exact"/>
              <w:jc w:val="center"/>
              <w:rPr>
                <w:rFonts w:hint="eastAsia" w:ascii="宋体" w:hAnsi="宋体" w:eastAsia="宋体" w:cs="宋体"/>
              </w:rPr>
            </w:pPr>
            <w:r>
              <w:rPr>
                <w:rFonts w:hint="eastAsia" w:ascii="宋体" w:hAnsi="宋体" w:eastAsia="宋体" w:cs="宋体"/>
                <w:sz w:val="18"/>
              </w:rPr>
              <w:t>1</w:t>
            </w:r>
          </w:p>
        </w:tc>
        <w:tc>
          <w:tcPr>
            <w:tcW w:w="1276" w:type="dxa"/>
          </w:tcPr>
          <w:p w14:paraId="33013C91">
            <w:pPr>
              <w:spacing w:after="0" w:line="260" w:lineRule="exact"/>
              <w:jc w:val="center"/>
              <w:rPr>
                <w:rFonts w:hint="eastAsia" w:ascii="宋体" w:hAnsi="宋体" w:eastAsia="宋体" w:cs="宋体"/>
              </w:rPr>
            </w:pPr>
            <w:r>
              <w:rPr>
                <w:rFonts w:hint="eastAsia" w:ascii="宋体" w:hAnsi="宋体" w:eastAsia="宋体" w:cs="宋体"/>
                <w:sz w:val="18"/>
              </w:rPr>
              <w:t>97.0</w:t>
            </w:r>
          </w:p>
        </w:tc>
        <w:tc>
          <w:tcPr>
            <w:tcW w:w="1134" w:type="dxa"/>
          </w:tcPr>
          <w:p w14:paraId="4F48F2D3">
            <w:pPr>
              <w:spacing w:after="0" w:line="260" w:lineRule="exact"/>
              <w:jc w:val="left"/>
              <w:rPr>
                <w:rFonts w:hint="eastAsia" w:ascii="宋体" w:hAnsi="宋体" w:eastAsia="宋体" w:cs="宋体"/>
              </w:rPr>
            </w:pPr>
            <w:r>
              <w:rPr>
                <w:rFonts w:hint="eastAsia" w:ascii="宋体" w:hAnsi="宋体" w:eastAsia="宋体" w:cs="宋体"/>
                <w:sz w:val="18"/>
              </w:rPr>
              <w:t>6173</w:t>
            </w:r>
          </w:p>
        </w:tc>
        <w:tc>
          <w:tcPr>
            <w:tcW w:w="1134" w:type="dxa"/>
          </w:tcPr>
          <w:p w14:paraId="612DC3C5">
            <w:pPr>
              <w:spacing w:after="0" w:line="260" w:lineRule="exact"/>
              <w:jc w:val="left"/>
              <w:rPr>
                <w:rFonts w:hint="eastAsia" w:ascii="宋体" w:hAnsi="宋体" w:eastAsia="宋体" w:cs="宋体"/>
              </w:rPr>
            </w:pPr>
            <w:r>
              <w:rPr>
                <w:rFonts w:hint="eastAsia" w:ascii="宋体" w:hAnsi="宋体" w:eastAsia="宋体" w:cs="宋体"/>
                <w:sz w:val="18"/>
              </w:rPr>
              <w:t>6072</w:t>
            </w:r>
          </w:p>
        </w:tc>
        <w:tc>
          <w:tcPr>
            <w:tcW w:w="1587" w:type="dxa"/>
          </w:tcPr>
          <w:p w14:paraId="05F56E64">
            <w:pPr>
              <w:spacing w:after="0" w:line="260" w:lineRule="exact"/>
              <w:jc w:val="left"/>
              <w:rPr>
                <w:rFonts w:hint="eastAsia" w:ascii="宋体" w:hAnsi="宋体" w:eastAsia="宋体" w:cs="宋体"/>
              </w:rPr>
            </w:pPr>
            <w:r>
              <w:rPr>
                <w:rFonts w:hint="eastAsia" w:ascii="宋体" w:hAnsi="宋体" w:eastAsia="宋体" w:cs="宋体"/>
                <w:sz w:val="18"/>
              </w:rPr>
              <w:t>63.64</w:t>
            </w:r>
          </w:p>
        </w:tc>
        <w:tc>
          <w:tcPr>
            <w:tcW w:w="1616" w:type="dxa"/>
          </w:tcPr>
          <w:p w14:paraId="7F5D165D">
            <w:pPr>
              <w:spacing w:after="0" w:line="260" w:lineRule="exact"/>
              <w:jc w:val="left"/>
              <w:rPr>
                <w:rFonts w:hint="eastAsia" w:ascii="宋体" w:hAnsi="宋体" w:eastAsia="宋体" w:cs="宋体"/>
              </w:rPr>
            </w:pPr>
            <w:r>
              <w:rPr>
                <w:rFonts w:hint="eastAsia" w:ascii="宋体" w:hAnsi="宋体" w:eastAsia="宋体" w:cs="宋体"/>
                <w:sz w:val="18"/>
              </w:rPr>
              <w:t>62.60</w:t>
            </w:r>
          </w:p>
        </w:tc>
      </w:tr>
      <w:tr w14:paraId="4186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69428248">
            <w:pPr>
              <w:spacing w:after="0" w:line="260" w:lineRule="exact"/>
              <w:jc w:val="center"/>
              <w:rPr>
                <w:rFonts w:hint="eastAsia" w:ascii="宋体" w:hAnsi="宋体" w:eastAsia="宋体" w:cs="宋体"/>
              </w:rPr>
            </w:pPr>
            <w:r>
              <w:rPr>
                <w:rFonts w:hint="eastAsia" w:ascii="宋体" w:hAnsi="宋体" w:eastAsia="宋体" w:cs="宋体"/>
                <w:sz w:val="18"/>
              </w:rPr>
              <w:t>2</w:t>
            </w:r>
          </w:p>
        </w:tc>
        <w:tc>
          <w:tcPr>
            <w:tcW w:w="1276" w:type="dxa"/>
          </w:tcPr>
          <w:p w14:paraId="321BB16B">
            <w:pPr>
              <w:spacing w:after="0" w:line="260" w:lineRule="exact"/>
              <w:jc w:val="center"/>
              <w:rPr>
                <w:rFonts w:hint="eastAsia" w:ascii="宋体" w:hAnsi="宋体" w:eastAsia="宋体" w:cs="宋体"/>
              </w:rPr>
            </w:pPr>
            <w:r>
              <w:rPr>
                <w:rFonts w:hint="eastAsia" w:ascii="宋体" w:hAnsi="宋体" w:eastAsia="宋体" w:cs="宋体"/>
                <w:sz w:val="18"/>
              </w:rPr>
              <w:t>96.5</w:t>
            </w:r>
          </w:p>
        </w:tc>
        <w:tc>
          <w:tcPr>
            <w:tcW w:w="1134" w:type="dxa"/>
          </w:tcPr>
          <w:p w14:paraId="276F9747">
            <w:pPr>
              <w:spacing w:after="0" w:line="260" w:lineRule="exact"/>
              <w:jc w:val="left"/>
              <w:rPr>
                <w:rFonts w:hint="eastAsia" w:ascii="宋体" w:hAnsi="宋体" w:eastAsia="宋体" w:cs="宋体"/>
              </w:rPr>
            </w:pPr>
            <w:r>
              <w:rPr>
                <w:rFonts w:hint="eastAsia" w:ascii="宋体" w:hAnsi="宋体" w:eastAsia="宋体" w:cs="宋体"/>
                <w:sz w:val="18"/>
              </w:rPr>
              <w:t>6298</w:t>
            </w:r>
          </w:p>
        </w:tc>
        <w:tc>
          <w:tcPr>
            <w:tcW w:w="1134" w:type="dxa"/>
          </w:tcPr>
          <w:p w14:paraId="297A3D7A">
            <w:pPr>
              <w:spacing w:after="0" w:line="260" w:lineRule="exact"/>
              <w:jc w:val="left"/>
              <w:rPr>
                <w:rFonts w:hint="eastAsia" w:ascii="宋体" w:hAnsi="宋体" w:eastAsia="宋体" w:cs="宋体"/>
              </w:rPr>
            </w:pPr>
            <w:r>
              <w:rPr>
                <w:rFonts w:hint="eastAsia" w:ascii="宋体" w:hAnsi="宋体" w:eastAsia="宋体" w:cs="宋体"/>
                <w:sz w:val="18"/>
              </w:rPr>
              <w:t>6054</w:t>
            </w:r>
          </w:p>
        </w:tc>
        <w:tc>
          <w:tcPr>
            <w:tcW w:w="1587" w:type="dxa"/>
          </w:tcPr>
          <w:p w14:paraId="4A42643A">
            <w:pPr>
              <w:spacing w:after="0" w:line="260" w:lineRule="exact"/>
              <w:jc w:val="left"/>
              <w:rPr>
                <w:rFonts w:hint="eastAsia" w:ascii="宋体" w:hAnsi="宋体" w:eastAsia="宋体" w:cs="宋体"/>
              </w:rPr>
            </w:pPr>
            <w:r>
              <w:rPr>
                <w:rFonts w:hint="eastAsia" w:ascii="宋体" w:hAnsi="宋体" w:eastAsia="宋体" w:cs="宋体"/>
                <w:sz w:val="18"/>
              </w:rPr>
              <w:t>65.26</w:t>
            </w:r>
          </w:p>
        </w:tc>
        <w:tc>
          <w:tcPr>
            <w:tcW w:w="1616" w:type="dxa"/>
          </w:tcPr>
          <w:p w14:paraId="01BA8B96">
            <w:pPr>
              <w:spacing w:after="0" w:line="260" w:lineRule="exact"/>
              <w:jc w:val="left"/>
              <w:rPr>
                <w:rFonts w:hint="eastAsia" w:ascii="宋体" w:hAnsi="宋体" w:eastAsia="宋体" w:cs="宋体"/>
              </w:rPr>
            </w:pPr>
            <w:r>
              <w:rPr>
                <w:rFonts w:hint="eastAsia" w:ascii="宋体" w:hAnsi="宋体" w:eastAsia="宋体" w:cs="宋体"/>
                <w:sz w:val="18"/>
              </w:rPr>
              <w:t>62.74</w:t>
            </w:r>
          </w:p>
        </w:tc>
      </w:tr>
      <w:tr w14:paraId="6777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Pr>
          <w:p w14:paraId="10656640">
            <w:pPr>
              <w:spacing w:after="0" w:line="260" w:lineRule="exact"/>
              <w:jc w:val="center"/>
              <w:rPr>
                <w:rFonts w:hint="eastAsia" w:ascii="宋体" w:hAnsi="宋体" w:eastAsia="宋体" w:cs="宋体"/>
              </w:rPr>
            </w:pPr>
            <w:r>
              <w:rPr>
                <w:rFonts w:hint="eastAsia" w:ascii="宋体" w:hAnsi="宋体" w:eastAsia="宋体" w:cs="宋体"/>
                <w:sz w:val="18"/>
              </w:rPr>
              <w:t>合并</w:t>
            </w:r>
          </w:p>
        </w:tc>
        <w:tc>
          <w:tcPr>
            <w:tcW w:w="1276" w:type="dxa"/>
          </w:tcPr>
          <w:p w14:paraId="5B51696A">
            <w:pPr>
              <w:spacing w:after="0" w:line="260" w:lineRule="exact"/>
              <w:jc w:val="center"/>
              <w:rPr>
                <w:rFonts w:hint="eastAsia" w:ascii="宋体" w:hAnsi="宋体" w:eastAsia="宋体" w:cs="宋体"/>
              </w:rPr>
            </w:pPr>
            <w:r>
              <w:rPr>
                <w:rFonts w:hint="eastAsia" w:ascii="宋体" w:hAnsi="宋体" w:eastAsia="宋体" w:cs="宋体"/>
                <w:sz w:val="18"/>
              </w:rPr>
              <w:t>193.5</w:t>
            </w:r>
          </w:p>
        </w:tc>
        <w:tc>
          <w:tcPr>
            <w:tcW w:w="1134" w:type="dxa"/>
          </w:tcPr>
          <w:p w14:paraId="35E7267F">
            <w:pPr>
              <w:spacing w:after="0" w:line="260" w:lineRule="exact"/>
              <w:jc w:val="left"/>
              <w:rPr>
                <w:rFonts w:hint="eastAsia" w:ascii="宋体" w:hAnsi="宋体" w:eastAsia="宋体" w:cs="宋体"/>
              </w:rPr>
            </w:pPr>
            <w:r>
              <w:rPr>
                <w:rFonts w:hint="eastAsia" w:ascii="宋体" w:hAnsi="宋体" w:eastAsia="宋体" w:cs="宋体"/>
                <w:sz w:val="18"/>
              </w:rPr>
              <w:t>12471</w:t>
            </w:r>
          </w:p>
        </w:tc>
        <w:tc>
          <w:tcPr>
            <w:tcW w:w="1134" w:type="dxa"/>
          </w:tcPr>
          <w:p w14:paraId="0AF3AEC5">
            <w:pPr>
              <w:spacing w:after="0" w:line="260" w:lineRule="exact"/>
              <w:jc w:val="left"/>
              <w:rPr>
                <w:rFonts w:hint="eastAsia" w:ascii="宋体" w:hAnsi="宋体" w:eastAsia="宋体" w:cs="宋体"/>
              </w:rPr>
            </w:pPr>
            <w:r>
              <w:rPr>
                <w:rFonts w:hint="eastAsia" w:ascii="宋体" w:hAnsi="宋体" w:eastAsia="宋体" w:cs="宋体"/>
                <w:sz w:val="18"/>
              </w:rPr>
              <w:t>12126</w:t>
            </w:r>
          </w:p>
        </w:tc>
        <w:tc>
          <w:tcPr>
            <w:tcW w:w="1587" w:type="dxa"/>
          </w:tcPr>
          <w:p w14:paraId="10827D43">
            <w:pPr>
              <w:spacing w:after="0" w:line="260" w:lineRule="exact"/>
              <w:jc w:val="left"/>
              <w:rPr>
                <w:rFonts w:hint="eastAsia" w:ascii="宋体" w:hAnsi="宋体" w:eastAsia="宋体" w:cs="宋体"/>
              </w:rPr>
            </w:pPr>
            <w:r>
              <w:rPr>
                <w:rFonts w:hint="eastAsia" w:ascii="宋体" w:hAnsi="宋体" w:eastAsia="宋体" w:cs="宋体"/>
                <w:sz w:val="18"/>
              </w:rPr>
              <w:t>64.45</w:t>
            </w:r>
          </w:p>
        </w:tc>
        <w:tc>
          <w:tcPr>
            <w:tcW w:w="1616" w:type="dxa"/>
          </w:tcPr>
          <w:p w14:paraId="140C64D1">
            <w:pPr>
              <w:spacing w:after="0" w:line="260" w:lineRule="exact"/>
              <w:jc w:val="left"/>
              <w:rPr>
                <w:rFonts w:hint="eastAsia" w:ascii="宋体" w:hAnsi="宋体" w:eastAsia="宋体" w:cs="宋体"/>
              </w:rPr>
            </w:pPr>
            <w:r>
              <w:rPr>
                <w:rFonts w:hint="eastAsia" w:ascii="宋体" w:hAnsi="宋体" w:eastAsia="宋体" w:cs="宋体"/>
                <w:sz w:val="18"/>
              </w:rPr>
              <w:t>62.67</w:t>
            </w:r>
          </w:p>
        </w:tc>
      </w:tr>
    </w:tbl>
    <w:p w14:paraId="26A9116E">
      <w:pPr>
        <w:bidi w:val="0"/>
        <w:ind w:firstLine="420" w:firstLineChars="200"/>
        <w:jc w:val="center"/>
        <w:rPr>
          <w:rFonts w:ascii="Songti SC" w:hAnsi="Songti SC" w:eastAsia="Songti SC"/>
          <w:sz w:val="21"/>
          <w:szCs w:val="21"/>
        </w:rPr>
      </w:pPr>
      <w:r>
        <w:rPr>
          <w:sz w:val="21"/>
          <w:szCs w:val="21"/>
        </w:rPr>
        <w:t>表 1  双编码器直线标定原始记录</w:t>
      </w:r>
    </w:p>
    <w:p w14:paraId="716007AD">
      <w:pPr>
        <w:spacing w:before="0" w:after="0" w:line="440" w:lineRule="exact"/>
        <w:ind w:firstLine="480" w:firstLineChars="200"/>
      </w:pPr>
      <w:r>
        <w:rPr>
          <w:rFonts w:hint="eastAsia" w:ascii="宋体" w:hAnsi="宋体" w:eastAsia="宋体" w:cs="宋体"/>
          <w:sz w:val="24"/>
        </w:rPr>
        <w:t>合并标定得到左轮 64.45 脉冲/cm、右轮 62.67 脉冲/cm，两者相差约 2.8%。因此整圈停车程序分别按两侧轮程计算后取平均，不能以统一系数替代。</w:t>
      </w:r>
    </w:p>
    <w:p w14:paraId="737CD620">
      <w:pPr>
        <w:pStyle w:val="4"/>
        <w:bidi w:val="0"/>
        <w:ind w:firstLine="562" w:firstLineChars="200"/>
      </w:pPr>
      <w:r>
        <w:t>4.2  摆杆空载位置标定</w:t>
      </w:r>
    </w:p>
    <w:p w14:paraId="1423AB75">
      <w:pPr>
        <w:bidi w:val="0"/>
        <w:ind w:firstLine="480" w:firstLineChars="200"/>
      </w:pPr>
      <w:r>
        <w:t>以距铰链中心 25.8 cm 的固定点作为测量点，零点高度为 11.1 cm。白杆角度由 θ</w:t>
      </w:r>
      <w:r>
        <w:rPr>
          <w:vertAlign w:val="subscript"/>
        </w:rPr>
        <w:t>beam</w:t>
      </w:r>
      <w:r>
        <w:t>=asin[(h−h</w:t>
      </w:r>
      <w:r>
        <w:rPr>
          <w:vertAlign w:val="subscript"/>
        </w:rPr>
        <w:t>0</w:t>
      </w:r>
      <w:r>
        <w:t>)/25.8]×180/π 换算。电机轴显示角与白杆实际角度不成固定比例，故控制器只在相邻标定点间进行插值。</w:t>
      </w:r>
    </w:p>
    <w:tbl>
      <w:tblPr>
        <w:tblStyle w:val="3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438"/>
        <w:gridCol w:w="2494"/>
        <w:gridCol w:w="2438"/>
      </w:tblGrid>
      <w:tr w14:paraId="482B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E6E6E6"/>
            <w:tcMar>
              <w:top w:w="70" w:type="dxa"/>
              <w:left w:w="90" w:type="dxa"/>
              <w:bottom w:w="70" w:type="dxa"/>
              <w:right w:w="90" w:type="dxa"/>
            </w:tcMar>
            <w:vAlign w:val="center"/>
          </w:tcPr>
          <w:p w14:paraId="1CB5031D">
            <w:pPr>
              <w:spacing w:after="0" w:line="260" w:lineRule="exact"/>
              <w:jc w:val="center"/>
              <w:rPr>
                <w:rFonts w:hint="eastAsia" w:ascii="宋体" w:hAnsi="宋体" w:eastAsia="宋体" w:cs="宋体"/>
              </w:rPr>
            </w:pPr>
            <w:r>
              <w:rPr>
                <w:rFonts w:hint="eastAsia" w:ascii="宋体" w:hAnsi="宋体" w:eastAsia="宋体" w:cs="宋体"/>
                <w:b/>
                <w:sz w:val="18"/>
              </w:rPr>
              <w:t>相对 POS</w:t>
            </w:r>
          </w:p>
        </w:tc>
        <w:tc>
          <w:tcPr>
            <w:tcW w:w="2438" w:type="dxa"/>
            <w:shd w:val="clear" w:color="auto" w:fill="E6E6E6"/>
            <w:tcMar>
              <w:top w:w="70" w:type="dxa"/>
              <w:left w:w="90" w:type="dxa"/>
              <w:bottom w:w="70" w:type="dxa"/>
              <w:right w:w="90" w:type="dxa"/>
            </w:tcMar>
            <w:vAlign w:val="center"/>
          </w:tcPr>
          <w:p w14:paraId="79409206">
            <w:pPr>
              <w:spacing w:after="0" w:line="260" w:lineRule="exact"/>
              <w:jc w:val="center"/>
              <w:rPr>
                <w:rFonts w:hint="eastAsia" w:ascii="宋体" w:hAnsi="宋体" w:eastAsia="宋体" w:cs="宋体"/>
              </w:rPr>
            </w:pPr>
            <w:r>
              <w:rPr>
                <w:rFonts w:hint="eastAsia" w:ascii="宋体" w:hAnsi="宋体" w:eastAsia="宋体" w:cs="宋体"/>
                <w:b/>
                <w:sz w:val="18"/>
              </w:rPr>
              <w:t>固定点高度/cm</w:t>
            </w:r>
          </w:p>
        </w:tc>
        <w:tc>
          <w:tcPr>
            <w:tcW w:w="2494" w:type="dxa"/>
            <w:shd w:val="clear" w:color="auto" w:fill="E6E6E6"/>
            <w:tcMar>
              <w:top w:w="70" w:type="dxa"/>
              <w:left w:w="90" w:type="dxa"/>
              <w:bottom w:w="70" w:type="dxa"/>
              <w:right w:w="90" w:type="dxa"/>
            </w:tcMar>
            <w:vAlign w:val="center"/>
          </w:tcPr>
          <w:p w14:paraId="302237E4">
            <w:pPr>
              <w:spacing w:after="0" w:line="260" w:lineRule="exact"/>
              <w:jc w:val="center"/>
              <w:rPr>
                <w:rFonts w:hint="eastAsia" w:ascii="宋体" w:hAnsi="宋体" w:eastAsia="宋体" w:cs="宋体"/>
              </w:rPr>
            </w:pPr>
            <w:r>
              <w:rPr>
                <w:rFonts w:hint="eastAsia" w:ascii="宋体" w:hAnsi="宋体" w:eastAsia="宋体" w:cs="宋体"/>
                <w:b/>
                <w:sz w:val="18"/>
              </w:rPr>
              <w:t>白杆实测角/°</w:t>
            </w:r>
          </w:p>
        </w:tc>
        <w:tc>
          <w:tcPr>
            <w:tcW w:w="2438" w:type="dxa"/>
            <w:shd w:val="clear" w:color="auto" w:fill="E6E6E6"/>
            <w:tcMar>
              <w:top w:w="70" w:type="dxa"/>
              <w:left w:w="90" w:type="dxa"/>
              <w:bottom w:w="70" w:type="dxa"/>
              <w:right w:w="90" w:type="dxa"/>
            </w:tcMar>
            <w:vAlign w:val="center"/>
          </w:tcPr>
          <w:p w14:paraId="6AA0FC24">
            <w:pPr>
              <w:spacing w:after="0" w:line="260" w:lineRule="exact"/>
              <w:jc w:val="center"/>
              <w:rPr>
                <w:rFonts w:hint="eastAsia" w:ascii="宋体" w:hAnsi="宋体" w:eastAsia="宋体" w:cs="宋体"/>
              </w:rPr>
            </w:pPr>
            <w:r>
              <w:rPr>
                <w:rFonts w:hint="eastAsia" w:ascii="宋体" w:hAnsi="宋体" w:eastAsia="宋体" w:cs="宋体"/>
                <w:b/>
                <w:sz w:val="18"/>
              </w:rPr>
              <w:t>电机轴角/°</w:t>
            </w:r>
          </w:p>
        </w:tc>
      </w:tr>
      <w:tr w14:paraId="2072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401EE8B">
            <w:pPr>
              <w:spacing w:after="0" w:line="260" w:lineRule="exact"/>
              <w:jc w:val="center"/>
              <w:rPr>
                <w:rFonts w:hint="eastAsia" w:ascii="宋体" w:hAnsi="宋体" w:eastAsia="宋体" w:cs="宋体"/>
              </w:rPr>
            </w:pPr>
            <w:r>
              <w:rPr>
                <w:rFonts w:hint="eastAsia" w:ascii="宋体" w:hAnsi="宋体" w:eastAsia="宋体" w:cs="宋体"/>
                <w:sz w:val="18"/>
              </w:rPr>
              <w:t>−132</w:t>
            </w:r>
          </w:p>
        </w:tc>
        <w:tc>
          <w:tcPr>
            <w:tcW w:w="2438" w:type="dxa"/>
          </w:tcPr>
          <w:p w14:paraId="187BF422">
            <w:pPr>
              <w:spacing w:after="0" w:line="260" w:lineRule="exact"/>
              <w:jc w:val="center"/>
              <w:rPr>
                <w:rFonts w:hint="eastAsia" w:ascii="宋体" w:hAnsi="宋体" w:eastAsia="宋体" w:cs="宋体"/>
              </w:rPr>
            </w:pPr>
            <w:r>
              <w:rPr>
                <w:rFonts w:hint="eastAsia" w:ascii="宋体" w:hAnsi="宋体" w:eastAsia="宋体" w:cs="宋体"/>
                <w:sz w:val="18"/>
              </w:rPr>
              <w:t>10.1</w:t>
            </w:r>
          </w:p>
        </w:tc>
        <w:tc>
          <w:tcPr>
            <w:tcW w:w="2494" w:type="dxa"/>
          </w:tcPr>
          <w:p w14:paraId="2448CAFA">
            <w:pPr>
              <w:spacing w:after="0" w:line="260" w:lineRule="exact"/>
              <w:jc w:val="center"/>
              <w:rPr>
                <w:rFonts w:hint="eastAsia" w:ascii="宋体" w:hAnsi="宋体" w:eastAsia="宋体" w:cs="宋体"/>
              </w:rPr>
            </w:pPr>
            <w:r>
              <w:rPr>
                <w:rFonts w:hint="eastAsia" w:ascii="宋体" w:hAnsi="宋体" w:eastAsia="宋体" w:cs="宋体"/>
                <w:sz w:val="18"/>
              </w:rPr>
              <w:t>−2.221</w:t>
            </w:r>
          </w:p>
        </w:tc>
        <w:tc>
          <w:tcPr>
            <w:tcW w:w="2438" w:type="dxa"/>
          </w:tcPr>
          <w:p w14:paraId="613DE2A7">
            <w:pPr>
              <w:spacing w:after="0" w:line="260" w:lineRule="exact"/>
              <w:jc w:val="center"/>
              <w:rPr>
                <w:rFonts w:hint="eastAsia" w:ascii="宋体" w:hAnsi="宋体" w:eastAsia="宋体" w:cs="宋体"/>
              </w:rPr>
            </w:pPr>
            <w:r>
              <w:rPr>
                <w:rFonts w:hint="eastAsia" w:ascii="宋体" w:hAnsi="宋体" w:eastAsia="宋体" w:cs="宋体"/>
                <w:sz w:val="18"/>
              </w:rPr>
              <w:t>−14.8</w:t>
            </w:r>
          </w:p>
        </w:tc>
      </w:tr>
      <w:tr w14:paraId="4BC3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26E9ACA">
            <w:pPr>
              <w:spacing w:after="0" w:line="260" w:lineRule="exact"/>
              <w:jc w:val="center"/>
              <w:rPr>
                <w:rFonts w:hint="eastAsia" w:ascii="宋体" w:hAnsi="宋体" w:eastAsia="宋体" w:cs="宋体"/>
              </w:rPr>
            </w:pPr>
            <w:r>
              <w:rPr>
                <w:rFonts w:hint="eastAsia" w:ascii="宋体" w:hAnsi="宋体" w:eastAsia="宋体" w:cs="宋体"/>
                <w:sz w:val="18"/>
              </w:rPr>
              <w:t>−88</w:t>
            </w:r>
          </w:p>
        </w:tc>
        <w:tc>
          <w:tcPr>
            <w:tcW w:w="2438" w:type="dxa"/>
          </w:tcPr>
          <w:p w14:paraId="5152C866">
            <w:pPr>
              <w:spacing w:after="0" w:line="260" w:lineRule="exact"/>
              <w:jc w:val="center"/>
              <w:rPr>
                <w:rFonts w:hint="eastAsia" w:ascii="宋体" w:hAnsi="宋体" w:eastAsia="宋体" w:cs="宋体"/>
              </w:rPr>
            </w:pPr>
            <w:r>
              <w:rPr>
                <w:rFonts w:hint="eastAsia" w:ascii="宋体" w:hAnsi="宋体" w:eastAsia="宋体" w:cs="宋体"/>
                <w:sz w:val="18"/>
              </w:rPr>
              <w:t>10.5</w:t>
            </w:r>
          </w:p>
        </w:tc>
        <w:tc>
          <w:tcPr>
            <w:tcW w:w="2494" w:type="dxa"/>
          </w:tcPr>
          <w:p w14:paraId="3C926023">
            <w:pPr>
              <w:spacing w:after="0" w:line="260" w:lineRule="exact"/>
              <w:jc w:val="center"/>
              <w:rPr>
                <w:rFonts w:hint="eastAsia" w:ascii="宋体" w:hAnsi="宋体" w:eastAsia="宋体" w:cs="宋体"/>
              </w:rPr>
            </w:pPr>
            <w:r>
              <w:rPr>
                <w:rFonts w:hint="eastAsia" w:ascii="宋体" w:hAnsi="宋体" w:eastAsia="宋体" w:cs="宋体"/>
                <w:sz w:val="18"/>
              </w:rPr>
              <w:t>−1.333</w:t>
            </w:r>
          </w:p>
        </w:tc>
        <w:tc>
          <w:tcPr>
            <w:tcW w:w="2438" w:type="dxa"/>
          </w:tcPr>
          <w:p w14:paraId="4520F6B5">
            <w:pPr>
              <w:spacing w:after="0" w:line="260" w:lineRule="exact"/>
              <w:jc w:val="center"/>
              <w:rPr>
                <w:rFonts w:hint="eastAsia" w:ascii="宋体" w:hAnsi="宋体" w:eastAsia="宋体" w:cs="宋体"/>
              </w:rPr>
            </w:pPr>
            <w:r>
              <w:rPr>
                <w:rFonts w:hint="eastAsia" w:ascii="宋体" w:hAnsi="宋体" w:eastAsia="宋体" w:cs="宋体"/>
                <w:sz w:val="18"/>
              </w:rPr>
              <w:t>−9.8</w:t>
            </w:r>
          </w:p>
        </w:tc>
      </w:tr>
      <w:tr w14:paraId="2277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D729E78">
            <w:pPr>
              <w:spacing w:after="0" w:line="260" w:lineRule="exact"/>
              <w:jc w:val="center"/>
              <w:rPr>
                <w:rFonts w:hint="eastAsia" w:ascii="宋体" w:hAnsi="宋体" w:eastAsia="宋体" w:cs="宋体"/>
              </w:rPr>
            </w:pPr>
            <w:r>
              <w:rPr>
                <w:rFonts w:hint="eastAsia" w:ascii="宋体" w:hAnsi="宋体" w:eastAsia="宋体" w:cs="宋体"/>
                <w:sz w:val="18"/>
              </w:rPr>
              <w:t>−44</w:t>
            </w:r>
          </w:p>
        </w:tc>
        <w:tc>
          <w:tcPr>
            <w:tcW w:w="2438" w:type="dxa"/>
          </w:tcPr>
          <w:p w14:paraId="6CE1C385">
            <w:pPr>
              <w:spacing w:after="0" w:line="260" w:lineRule="exact"/>
              <w:jc w:val="center"/>
              <w:rPr>
                <w:rFonts w:hint="eastAsia" w:ascii="宋体" w:hAnsi="宋体" w:eastAsia="宋体" w:cs="宋体"/>
              </w:rPr>
            </w:pPr>
            <w:r>
              <w:rPr>
                <w:rFonts w:hint="eastAsia" w:ascii="宋体" w:hAnsi="宋体" w:eastAsia="宋体" w:cs="宋体"/>
                <w:sz w:val="18"/>
              </w:rPr>
              <w:t>10.9</w:t>
            </w:r>
          </w:p>
        </w:tc>
        <w:tc>
          <w:tcPr>
            <w:tcW w:w="2494" w:type="dxa"/>
          </w:tcPr>
          <w:p w14:paraId="0D41B81B">
            <w:pPr>
              <w:spacing w:after="0" w:line="260" w:lineRule="exact"/>
              <w:jc w:val="center"/>
              <w:rPr>
                <w:rFonts w:hint="eastAsia" w:ascii="宋体" w:hAnsi="宋体" w:eastAsia="宋体" w:cs="宋体"/>
              </w:rPr>
            </w:pPr>
            <w:r>
              <w:rPr>
                <w:rFonts w:hint="eastAsia" w:ascii="宋体" w:hAnsi="宋体" w:eastAsia="宋体" w:cs="宋体"/>
                <w:sz w:val="18"/>
              </w:rPr>
              <w:t>−0.444</w:t>
            </w:r>
          </w:p>
        </w:tc>
        <w:tc>
          <w:tcPr>
            <w:tcW w:w="2438" w:type="dxa"/>
          </w:tcPr>
          <w:p w14:paraId="1C108D7A">
            <w:pPr>
              <w:spacing w:after="0" w:line="260" w:lineRule="exact"/>
              <w:jc w:val="center"/>
              <w:rPr>
                <w:rFonts w:hint="eastAsia" w:ascii="宋体" w:hAnsi="宋体" w:eastAsia="宋体" w:cs="宋体"/>
              </w:rPr>
            </w:pPr>
            <w:r>
              <w:rPr>
                <w:rFonts w:hint="eastAsia" w:ascii="宋体" w:hAnsi="宋体" w:eastAsia="宋体" w:cs="宋体"/>
                <w:sz w:val="18"/>
              </w:rPr>
              <w:t>−4.9</w:t>
            </w:r>
          </w:p>
        </w:tc>
      </w:tr>
      <w:tr w14:paraId="231D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CD8011B">
            <w:pPr>
              <w:spacing w:after="0" w:line="260" w:lineRule="exact"/>
              <w:jc w:val="center"/>
              <w:rPr>
                <w:rFonts w:hint="eastAsia" w:ascii="宋体" w:hAnsi="宋体" w:eastAsia="宋体" w:cs="宋体"/>
              </w:rPr>
            </w:pPr>
            <w:r>
              <w:rPr>
                <w:rFonts w:hint="eastAsia" w:ascii="宋体" w:hAnsi="宋体" w:eastAsia="宋体" w:cs="宋体"/>
                <w:sz w:val="18"/>
              </w:rPr>
              <w:t>0</w:t>
            </w:r>
          </w:p>
        </w:tc>
        <w:tc>
          <w:tcPr>
            <w:tcW w:w="2438" w:type="dxa"/>
          </w:tcPr>
          <w:p w14:paraId="3D911B51">
            <w:pPr>
              <w:spacing w:after="0" w:line="260" w:lineRule="exact"/>
              <w:jc w:val="center"/>
              <w:rPr>
                <w:rFonts w:hint="eastAsia" w:ascii="宋体" w:hAnsi="宋体" w:eastAsia="宋体" w:cs="宋体"/>
              </w:rPr>
            </w:pPr>
            <w:r>
              <w:rPr>
                <w:rFonts w:hint="eastAsia" w:ascii="宋体" w:hAnsi="宋体" w:eastAsia="宋体" w:cs="宋体"/>
                <w:sz w:val="18"/>
              </w:rPr>
              <w:t>11.1</w:t>
            </w:r>
          </w:p>
        </w:tc>
        <w:tc>
          <w:tcPr>
            <w:tcW w:w="2494" w:type="dxa"/>
          </w:tcPr>
          <w:p w14:paraId="5C712B28">
            <w:pPr>
              <w:spacing w:after="0" w:line="260" w:lineRule="exact"/>
              <w:jc w:val="center"/>
              <w:rPr>
                <w:rFonts w:hint="eastAsia" w:ascii="宋体" w:hAnsi="宋体" w:eastAsia="宋体" w:cs="宋体"/>
              </w:rPr>
            </w:pPr>
            <w:r>
              <w:rPr>
                <w:rFonts w:hint="eastAsia" w:ascii="宋体" w:hAnsi="宋体" w:eastAsia="宋体" w:cs="宋体"/>
                <w:sz w:val="18"/>
              </w:rPr>
              <w:t>0.000</w:t>
            </w:r>
          </w:p>
        </w:tc>
        <w:tc>
          <w:tcPr>
            <w:tcW w:w="2438" w:type="dxa"/>
          </w:tcPr>
          <w:p w14:paraId="4C6FF1A5">
            <w:pPr>
              <w:spacing w:after="0" w:line="260" w:lineRule="exact"/>
              <w:jc w:val="center"/>
              <w:rPr>
                <w:rFonts w:hint="eastAsia" w:ascii="宋体" w:hAnsi="宋体" w:eastAsia="宋体" w:cs="宋体"/>
              </w:rPr>
            </w:pPr>
            <w:r>
              <w:rPr>
                <w:rFonts w:hint="eastAsia" w:ascii="宋体" w:hAnsi="宋体" w:eastAsia="宋体" w:cs="宋体"/>
                <w:sz w:val="18"/>
              </w:rPr>
              <w:t>0.0</w:t>
            </w:r>
          </w:p>
        </w:tc>
      </w:tr>
      <w:tr w14:paraId="5342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41C2D92">
            <w:pPr>
              <w:spacing w:after="0" w:line="260" w:lineRule="exact"/>
              <w:jc w:val="center"/>
              <w:rPr>
                <w:rFonts w:hint="eastAsia" w:ascii="宋体" w:hAnsi="宋体" w:eastAsia="宋体" w:cs="宋体"/>
              </w:rPr>
            </w:pPr>
            <w:r>
              <w:rPr>
                <w:rFonts w:hint="eastAsia" w:ascii="宋体" w:hAnsi="宋体" w:eastAsia="宋体" w:cs="宋体"/>
                <w:sz w:val="18"/>
              </w:rPr>
              <w:t>+44</w:t>
            </w:r>
          </w:p>
        </w:tc>
        <w:tc>
          <w:tcPr>
            <w:tcW w:w="2438" w:type="dxa"/>
          </w:tcPr>
          <w:p w14:paraId="1840CCA4">
            <w:pPr>
              <w:spacing w:after="0" w:line="260" w:lineRule="exact"/>
              <w:jc w:val="center"/>
              <w:rPr>
                <w:rFonts w:hint="eastAsia" w:ascii="宋体" w:hAnsi="宋体" w:eastAsia="宋体" w:cs="宋体"/>
              </w:rPr>
            </w:pPr>
            <w:r>
              <w:rPr>
                <w:rFonts w:hint="eastAsia" w:ascii="宋体" w:hAnsi="宋体" w:eastAsia="宋体" w:cs="宋体"/>
                <w:sz w:val="18"/>
              </w:rPr>
              <w:t>11.3</w:t>
            </w:r>
          </w:p>
        </w:tc>
        <w:tc>
          <w:tcPr>
            <w:tcW w:w="2494" w:type="dxa"/>
          </w:tcPr>
          <w:p w14:paraId="4D6D5E23">
            <w:pPr>
              <w:spacing w:after="0" w:line="260" w:lineRule="exact"/>
              <w:jc w:val="center"/>
              <w:rPr>
                <w:rFonts w:hint="eastAsia" w:ascii="宋体" w:hAnsi="宋体" w:eastAsia="宋体" w:cs="宋体"/>
              </w:rPr>
            </w:pPr>
            <w:r>
              <w:rPr>
                <w:rFonts w:hint="eastAsia" w:ascii="宋体" w:hAnsi="宋体" w:eastAsia="宋体" w:cs="宋体"/>
                <w:sz w:val="18"/>
              </w:rPr>
              <w:t>+0.444</w:t>
            </w:r>
          </w:p>
        </w:tc>
        <w:tc>
          <w:tcPr>
            <w:tcW w:w="2438" w:type="dxa"/>
          </w:tcPr>
          <w:p w14:paraId="6BE8605D">
            <w:pPr>
              <w:spacing w:after="0" w:line="260" w:lineRule="exact"/>
              <w:jc w:val="center"/>
              <w:rPr>
                <w:rFonts w:hint="eastAsia" w:ascii="宋体" w:hAnsi="宋体" w:eastAsia="宋体" w:cs="宋体"/>
              </w:rPr>
            </w:pPr>
            <w:r>
              <w:rPr>
                <w:rFonts w:hint="eastAsia" w:ascii="宋体" w:hAnsi="宋体" w:eastAsia="宋体" w:cs="宋体"/>
                <w:sz w:val="18"/>
              </w:rPr>
              <w:t>+4.9</w:t>
            </w:r>
          </w:p>
        </w:tc>
      </w:tr>
      <w:tr w14:paraId="35A7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6EF140F">
            <w:pPr>
              <w:spacing w:after="0" w:line="260" w:lineRule="exact"/>
              <w:jc w:val="center"/>
              <w:rPr>
                <w:rFonts w:hint="eastAsia" w:ascii="宋体" w:hAnsi="宋体" w:eastAsia="宋体" w:cs="宋体"/>
              </w:rPr>
            </w:pPr>
            <w:r>
              <w:rPr>
                <w:rFonts w:hint="eastAsia" w:ascii="宋体" w:hAnsi="宋体" w:eastAsia="宋体" w:cs="宋体"/>
                <w:sz w:val="18"/>
              </w:rPr>
              <w:t>+88</w:t>
            </w:r>
          </w:p>
        </w:tc>
        <w:tc>
          <w:tcPr>
            <w:tcW w:w="2438" w:type="dxa"/>
          </w:tcPr>
          <w:p w14:paraId="7EFB0CAC">
            <w:pPr>
              <w:spacing w:after="0" w:line="260" w:lineRule="exact"/>
              <w:jc w:val="center"/>
              <w:rPr>
                <w:rFonts w:hint="eastAsia" w:ascii="宋体" w:hAnsi="宋体" w:eastAsia="宋体" w:cs="宋体"/>
              </w:rPr>
            </w:pPr>
            <w:r>
              <w:rPr>
                <w:rFonts w:hint="eastAsia" w:ascii="宋体" w:hAnsi="宋体" w:eastAsia="宋体" w:cs="宋体"/>
                <w:sz w:val="18"/>
              </w:rPr>
              <w:t>11.6</w:t>
            </w:r>
          </w:p>
        </w:tc>
        <w:tc>
          <w:tcPr>
            <w:tcW w:w="2494" w:type="dxa"/>
          </w:tcPr>
          <w:p w14:paraId="2D33D356">
            <w:pPr>
              <w:spacing w:after="0" w:line="260" w:lineRule="exact"/>
              <w:jc w:val="center"/>
              <w:rPr>
                <w:rFonts w:hint="eastAsia" w:ascii="宋体" w:hAnsi="宋体" w:eastAsia="宋体" w:cs="宋体"/>
              </w:rPr>
            </w:pPr>
            <w:r>
              <w:rPr>
                <w:rFonts w:hint="eastAsia" w:ascii="宋体" w:hAnsi="宋体" w:eastAsia="宋体" w:cs="宋体"/>
                <w:sz w:val="18"/>
              </w:rPr>
              <w:t>+1.110</w:t>
            </w:r>
          </w:p>
        </w:tc>
        <w:tc>
          <w:tcPr>
            <w:tcW w:w="2438" w:type="dxa"/>
          </w:tcPr>
          <w:p w14:paraId="309EA052">
            <w:pPr>
              <w:spacing w:after="0" w:line="260" w:lineRule="exact"/>
              <w:jc w:val="center"/>
              <w:rPr>
                <w:rFonts w:hint="eastAsia" w:ascii="宋体" w:hAnsi="宋体" w:eastAsia="宋体" w:cs="宋体"/>
              </w:rPr>
            </w:pPr>
            <w:r>
              <w:rPr>
                <w:rFonts w:hint="eastAsia" w:ascii="宋体" w:hAnsi="宋体" w:eastAsia="宋体" w:cs="宋体"/>
                <w:sz w:val="18"/>
              </w:rPr>
              <w:t>+9.9</w:t>
            </w:r>
          </w:p>
        </w:tc>
      </w:tr>
      <w:tr w14:paraId="35EE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7377969">
            <w:pPr>
              <w:spacing w:after="0" w:line="260" w:lineRule="exact"/>
              <w:jc w:val="center"/>
              <w:rPr>
                <w:rFonts w:hint="eastAsia" w:ascii="宋体" w:hAnsi="宋体" w:eastAsia="宋体" w:cs="宋体"/>
              </w:rPr>
            </w:pPr>
            <w:r>
              <w:rPr>
                <w:rFonts w:hint="eastAsia" w:ascii="宋体" w:hAnsi="宋体" w:eastAsia="宋体" w:cs="宋体"/>
                <w:sz w:val="18"/>
              </w:rPr>
              <w:t>+132</w:t>
            </w:r>
          </w:p>
        </w:tc>
        <w:tc>
          <w:tcPr>
            <w:tcW w:w="2438" w:type="dxa"/>
          </w:tcPr>
          <w:p w14:paraId="47A42CEC">
            <w:pPr>
              <w:spacing w:after="0" w:line="260" w:lineRule="exact"/>
              <w:jc w:val="center"/>
              <w:rPr>
                <w:rFonts w:hint="eastAsia" w:ascii="宋体" w:hAnsi="宋体" w:eastAsia="宋体" w:cs="宋体"/>
              </w:rPr>
            </w:pPr>
            <w:r>
              <w:rPr>
                <w:rFonts w:hint="eastAsia" w:ascii="宋体" w:hAnsi="宋体" w:eastAsia="宋体" w:cs="宋体"/>
                <w:sz w:val="18"/>
              </w:rPr>
              <w:t>11.9</w:t>
            </w:r>
          </w:p>
        </w:tc>
        <w:tc>
          <w:tcPr>
            <w:tcW w:w="2494" w:type="dxa"/>
          </w:tcPr>
          <w:p w14:paraId="63B596A7">
            <w:pPr>
              <w:spacing w:after="0" w:line="260" w:lineRule="exact"/>
              <w:jc w:val="center"/>
              <w:rPr>
                <w:rFonts w:hint="eastAsia" w:ascii="宋体" w:hAnsi="宋体" w:eastAsia="宋体" w:cs="宋体"/>
              </w:rPr>
            </w:pPr>
            <w:r>
              <w:rPr>
                <w:rFonts w:hint="eastAsia" w:ascii="宋体" w:hAnsi="宋体" w:eastAsia="宋体" w:cs="宋体"/>
                <w:sz w:val="18"/>
              </w:rPr>
              <w:t>+1.777</w:t>
            </w:r>
          </w:p>
        </w:tc>
        <w:tc>
          <w:tcPr>
            <w:tcW w:w="2438" w:type="dxa"/>
          </w:tcPr>
          <w:p w14:paraId="6736CF8D">
            <w:pPr>
              <w:spacing w:after="0" w:line="260" w:lineRule="exact"/>
              <w:jc w:val="center"/>
              <w:rPr>
                <w:rFonts w:hint="eastAsia" w:ascii="宋体" w:hAnsi="宋体" w:eastAsia="宋体" w:cs="宋体"/>
              </w:rPr>
            </w:pPr>
            <w:r>
              <w:rPr>
                <w:rFonts w:hint="eastAsia" w:ascii="宋体" w:hAnsi="宋体" w:eastAsia="宋体" w:cs="宋体"/>
                <w:sz w:val="18"/>
              </w:rPr>
              <w:t>+14.8</w:t>
            </w:r>
          </w:p>
        </w:tc>
      </w:tr>
    </w:tbl>
    <w:p w14:paraId="4E6B0E15">
      <w:pPr>
        <w:keepNext/>
        <w:spacing w:before="100" w:after="60" w:line="320" w:lineRule="exact"/>
        <w:ind w:firstLine="400" w:firstLineChars="200"/>
        <w:jc w:val="center"/>
        <w:sectPr>
          <w:pgSz w:w="11906" w:h="16838"/>
          <w:pgMar w:top="1701" w:right="1134" w:bottom="1020" w:left="1134" w:header="283" w:footer="397" w:gutter="0"/>
          <w:cols w:space="720" w:num="1"/>
          <w:docGrid w:linePitch="360" w:charSpace="0"/>
        </w:sectPr>
      </w:pPr>
      <w:r>
        <w:rPr>
          <w:rFonts w:hint="eastAsia" w:ascii="宋体" w:hAnsi="宋体" w:eastAsia="宋体" w:cs="宋体"/>
          <w:sz w:val="20"/>
        </w:rPr>
        <w:t>表 2  摆杆角度—相对步进 POS 空载标定</w:t>
      </w:r>
    </w:p>
    <w:p w14:paraId="2AC60B9A">
      <w:pPr>
        <w:pStyle w:val="4"/>
        <w:bidi w:val="0"/>
        <w:ind w:firstLine="562" w:firstLineChars="200"/>
      </w:pPr>
      <w:r>
        <w:t>4.3  独立第三题静止钢球闭环测试</w:t>
      </w:r>
    </w:p>
    <w:p w14:paraId="015A555B">
      <w:pPr>
        <w:spacing w:before="0" w:after="0" w:line="440" w:lineRule="exact"/>
        <w:ind w:firstLine="480" w:firstLineChars="200"/>
      </w:pPr>
      <w:r>
        <w:rPr>
          <w:rFonts w:hint="eastAsia" w:ascii="宋体" w:hAnsi="宋体" w:eastAsia="宋体" w:cs="宋体"/>
          <w:sz w:val="24"/>
        </w:rPr>
        <w:t>独立第三题固件在冻结参数下已完成 0→+5→−5 cm 的现场验证。可追溯详细记录显示：有效动作时长为 1.75 s；正端峰值为 +66 px，约为 +5.6 cm；负端停止后保持在 −77 px 至 −56 px 区间，落入 −5±1 cm 的像素容差范围。该记录未出现丢球样本或估算丢帧。该结果不代表统一映像下已经重复验收。</w:t>
      </w:r>
    </w:p>
    <w:tbl>
      <w:tblPr>
        <w:tblStyle w:val="3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061"/>
        <w:gridCol w:w="4309"/>
      </w:tblGrid>
      <w:tr w14:paraId="3B54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E6E6E6"/>
            <w:tcMar>
              <w:top w:w="70" w:type="dxa"/>
              <w:left w:w="90" w:type="dxa"/>
              <w:bottom w:w="70" w:type="dxa"/>
              <w:right w:w="90" w:type="dxa"/>
            </w:tcMar>
            <w:vAlign w:val="center"/>
          </w:tcPr>
          <w:p w14:paraId="3CC1E751">
            <w:pPr>
              <w:spacing w:after="0" w:line="260" w:lineRule="exact"/>
              <w:jc w:val="center"/>
              <w:rPr>
                <w:rFonts w:hint="eastAsia" w:ascii="宋体" w:hAnsi="宋体" w:eastAsia="宋体" w:cs="宋体"/>
              </w:rPr>
            </w:pPr>
            <w:r>
              <w:rPr>
                <w:rFonts w:hint="eastAsia" w:ascii="宋体" w:hAnsi="宋体" w:eastAsia="宋体" w:cs="宋体"/>
                <w:b/>
                <w:sz w:val="18"/>
              </w:rPr>
              <w:t>指标</w:t>
            </w:r>
          </w:p>
        </w:tc>
        <w:tc>
          <w:tcPr>
            <w:tcW w:w="3061" w:type="dxa"/>
            <w:shd w:val="clear" w:color="auto" w:fill="E6E6E6"/>
            <w:tcMar>
              <w:top w:w="70" w:type="dxa"/>
              <w:left w:w="90" w:type="dxa"/>
              <w:bottom w:w="70" w:type="dxa"/>
              <w:right w:w="90" w:type="dxa"/>
            </w:tcMar>
            <w:vAlign w:val="center"/>
          </w:tcPr>
          <w:p w14:paraId="15B4F0B1">
            <w:pPr>
              <w:spacing w:after="0" w:line="260" w:lineRule="exact"/>
              <w:jc w:val="center"/>
              <w:rPr>
                <w:rFonts w:hint="eastAsia" w:ascii="宋体" w:hAnsi="宋体" w:eastAsia="宋体" w:cs="宋体"/>
              </w:rPr>
            </w:pPr>
            <w:r>
              <w:rPr>
                <w:rFonts w:hint="eastAsia" w:ascii="宋体" w:hAnsi="宋体" w:eastAsia="宋体" w:cs="宋体"/>
                <w:b/>
                <w:sz w:val="18"/>
              </w:rPr>
              <w:t>实测结果</w:t>
            </w:r>
          </w:p>
        </w:tc>
        <w:tc>
          <w:tcPr>
            <w:tcW w:w="4309" w:type="dxa"/>
            <w:shd w:val="clear" w:color="auto" w:fill="E6E6E6"/>
            <w:tcMar>
              <w:top w:w="70" w:type="dxa"/>
              <w:left w:w="90" w:type="dxa"/>
              <w:bottom w:w="70" w:type="dxa"/>
              <w:right w:w="90" w:type="dxa"/>
            </w:tcMar>
            <w:vAlign w:val="center"/>
          </w:tcPr>
          <w:p w14:paraId="261FB050">
            <w:pPr>
              <w:spacing w:after="0" w:line="260" w:lineRule="exact"/>
              <w:jc w:val="center"/>
              <w:rPr>
                <w:rFonts w:hint="eastAsia" w:ascii="宋体" w:hAnsi="宋体" w:eastAsia="宋体" w:cs="宋体"/>
              </w:rPr>
            </w:pPr>
            <w:r>
              <w:rPr>
                <w:rFonts w:hint="eastAsia" w:ascii="宋体" w:hAnsi="宋体" w:eastAsia="宋体" w:cs="宋体"/>
                <w:b/>
                <w:sz w:val="18"/>
              </w:rPr>
              <w:t>判定说明</w:t>
            </w:r>
          </w:p>
        </w:tc>
      </w:tr>
      <w:tr w14:paraId="7A16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701" w:type="dxa"/>
          </w:tcPr>
          <w:p w14:paraId="2838D4A7">
            <w:pPr>
              <w:spacing w:after="0" w:line="260" w:lineRule="exact"/>
              <w:jc w:val="center"/>
              <w:rPr>
                <w:rFonts w:hint="eastAsia" w:ascii="宋体" w:hAnsi="宋体" w:eastAsia="宋体" w:cs="宋体"/>
              </w:rPr>
            </w:pPr>
            <w:r>
              <w:rPr>
                <w:rFonts w:hint="eastAsia" w:ascii="宋体" w:hAnsi="宋体" w:eastAsia="宋体" w:cs="宋体"/>
                <w:sz w:val="18"/>
              </w:rPr>
              <w:t>有效动作时长</w:t>
            </w:r>
          </w:p>
        </w:tc>
        <w:tc>
          <w:tcPr>
            <w:tcW w:w="3061" w:type="dxa"/>
          </w:tcPr>
          <w:p w14:paraId="48D3D977">
            <w:pPr>
              <w:spacing w:after="0" w:line="260" w:lineRule="exact"/>
              <w:jc w:val="center"/>
              <w:rPr>
                <w:rFonts w:hint="eastAsia" w:ascii="宋体" w:hAnsi="宋体" w:eastAsia="宋体" w:cs="宋体"/>
              </w:rPr>
            </w:pPr>
            <w:r>
              <w:rPr>
                <w:rFonts w:hint="eastAsia" w:ascii="宋体" w:hAnsi="宋体" w:eastAsia="宋体" w:cs="宋体"/>
                <w:sz w:val="18"/>
              </w:rPr>
              <w:t>1.75 s</w:t>
            </w:r>
          </w:p>
        </w:tc>
        <w:tc>
          <w:tcPr>
            <w:tcW w:w="4309" w:type="dxa"/>
          </w:tcPr>
          <w:p w14:paraId="7C8D9671">
            <w:pPr>
              <w:spacing w:after="0" w:line="260" w:lineRule="exact"/>
              <w:jc w:val="center"/>
              <w:rPr>
                <w:rFonts w:hint="eastAsia" w:ascii="宋体" w:hAnsi="宋体" w:eastAsia="宋体" w:cs="宋体"/>
              </w:rPr>
            </w:pPr>
            <w:r>
              <w:rPr>
                <w:rFonts w:hint="eastAsia" w:ascii="宋体" w:hAnsi="宋体" w:eastAsia="宋体" w:cs="宋体"/>
                <w:sz w:val="18"/>
              </w:rPr>
              <w:t>小于 5 s</w:t>
            </w:r>
          </w:p>
        </w:tc>
      </w:tr>
      <w:tr w14:paraId="6102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1701" w:type="dxa"/>
          </w:tcPr>
          <w:p w14:paraId="4840653D">
            <w:pPr>
              <w:spacing w:after="0" w:line="260" w:lineRule="exact"/>
              <w:jc w:val="center"/>
              <w:rPr>
                <w:rFonts w:hint="eastAsia" w:ascii="宋体" w:hAnsi="宋体" w:eastAsia="宋体" w:cs="宋体"/>
              </w:rPr>
            </w:pPr>
            <w:r>
              <w:rPr>
                <w:rFonts w:hint="eastAsia" w:ascii="宋体" w:hAnsi="宋体" w:eastAsia="宋体" w:cs="宋体"/>
                <w:sz w:val="18"/>
              </w:rPr>
              <w:t>正端峰值</w:t>
            </w:r>
          </w:p>
        </w:tc>
        <w:tc>
          <w:tcPr>
            <w:tcW w:w="3061" w:type="dxa"/>
          </w:tcPr>
          <w:p w14:paraId="2878D853">
            <w:pPr>
              <w:spacing w:after="0" w:line="260" w:lineRule="exact"/>
              <w:jc w:val="center"/>
              <w:rPr>
                <w:rFonts w:hint="eastAsia" w:ascii="宋体" w:hAnsi="宋体" w:eastAsia="宋体" w:cs="宋体"/>
              </w:rPr>
            </w:pPr>
            <w:r>
              <w:rPr>
                <w:rFonts w:hint="eastAsia" w:ascii="宋体" w:hAnsi="宋体" w:eastAsia="宋体" w:cs="宋体"/>
                <w:sz w:val="18"/>
              </w:rPr>
              <w:t>+66 px（约 +5.6 cm）</w:t>
            </w:r>
          </w:p>
        </w:tc>
        <w:tc>
          <w:tcPr>
            <w:tcW w:w="4309" w:type="dxa"/>
          </w:tcPr>
          <w:p w14:paraId="6C7854BC">
            <w:pPr>
              <w:spacing w:after="0" w:line="260" w:lineRule="exact"/>
              <w:jc w:val="center"/>
              <w:rPr>
                <w:rFonts w:hint="eastAsia" w:ascii="宋体" w:hAnsi="宋体" w:eastAsia="宋体" w:cs="宋体"/>
              </w:rPr>
            </w:pPr>
            <w:r>
              <w:rPr>
                <w:rFonts w:hint="eastAsia" w:ascii="宋体" w:hAnsi="宋体" w:eastAsia="宋体" w:cs="宋体"/>
                <w:sz w:val="18"/>
              </w:rPr>
              <w:t>位于 +5 cm 容差范围</w:t>
            </w:r>
          </w:p>
        </w:tc>
      </w:tr>
      <w:tr w14:paraId="5DC4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3CF372E">
            <w:pPr>
              <w:spacing w:after="0" w:line="260" w:lineRule="exact"/>
              <w:jc w:val="center"/>
              <w:rPr>
                <w:rFonts w:hint="eastAsia" w:ascii="宋体" w:hAnsi="宋体" w:eastAsia="宋体" w:cs="宋体"/>
              </w:rPr>
            </w:pPr>
            <w:r>
              <w:rPr>
                <w:rFonts w:hint="eastAsia" w:ascii="宋体" w:hAnsi="宋体" w:eastAsia="宋体" w:cs="宋体"/>
                <w:sz w:val="18"/>
              </w:rPr>
              <w:t>负端停止后范围</w:t>
            </w:r>
          </w:p>
        </w:tc>
        <w:tc>
          <w:tcPr>
            <w:tcW w:w="3061" w:type="dxa"/>
          </w:tcPr>
          <w:p w14:paraId="1070FEC1">
            <w:pPr>
              <w:spacing w:after="0" w:line="260" w:lineRule="exact"/>
              <w:jc w:val="center"/>
              <w:rPr>
                <w:rFonts w:hint="eastAsia" w:ascii="宋体" w:hAnsi="宋体" w:eastAsia="宋体" w:cs="宋体"/>
              </w:rPr>
            </w:pPr>
            <w:r>
              <w:rPr>
                <w:rFonts w:hint="eastAsia" w:ascii="宋体" w:hAnsi="宋体" w:eastAsia="宋体" w:cs="宋体"/>
                <w:sz w:val="18"/>
              </w:rPr>
              <w:t>−77 px 至 −56 px</w:t>
            </w:r>
          </w:p>
        </w:tc>
        <w:tc>
          <w:tcPr>
            <w:tcW w:w="4309" w:type="dxa"/>
          </w:tcPr>
          <w:p w14:paraId="62D3F1AE">
            <w:pPr>
              <w:spacing w:after="0" w:line="260" w:lineRule="exact"/>
              <w:jc w:val="center"/>
              <w:rPr>
                <w:rFonts w:hint="eastAsia" w:ascii="宋体" w:hAnsi="宋体" w:eastAsia="宋体" w:cs="宋体"/>
              </w:rPr>
            </w:pPr>
            <w:r>
              <w:rPr>
                <w:rFonts w:hint="eastAsia" w:ascii="宋体" w:hAnsi="宋体" w:eastAsia="宋体" w:cs="宋体"/>
                <w:sz w:val="18"/>
              </w:rPr>
              <w:t>位于 −5 cm 容差范围</w:t>
            </w:r>
          </w:p>
        </w:tc>
      </w:tr>
      <w:tr w14:paraId="401D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AA3666D">
            <w:pPr>
              <w:spacing w:after="0" w:line="260" w:lineRule="exact"/>
              <w:jc w:val="center"/>
              <w:rPr>
                <w:rFonts w:hint="eastAsia" w:ascii="宋体" w:hAnsi="宋体" w:eastAsia="宋体" w:cs="宋体"/>
              </w:rPr>
            </w:pPr>
            <w:r>
              <w:rPr>
                <w:rFonts w:hint="eastAsia" w:ascii="宋体" w:hAnsi="宋体" w:eastAsia="宋体" w:cs="宋体"/>
                <w:sz w:val="18"/>
              </w:rPr>
              <w:t>丢球 / 估算丢帧</w:t>
            </w:r>
          </w:p>
        </w:tc>
        <w:tc>
          <w:tcPr>
            <w:tcW w:w="3061" w:type="dxa"/>
          </w:tcPr>
          <w:p w14:paraId="411A093B">
            <w:pPr>
              <w:spacing w:after="0" w:line="260" w:lineRule="exact"/>
              <w:jc w:val="center"/>
              <w:rPr>
                <w:rFonts w:hint="eastAsia" w:ascii="宋体" w:hAnsi="宋体" w:eastAsia="宋体" w:cs="宋体"/>
              </w:rPr>
            </w:pPr>
            <w:r>
              <w:rPr>
                <w:rFonts w:hint="eastAsia" w:ascii="宋体" w:hAnsi="宋体" w:eastAsia="宋体" w:cs="宋体"/>
                <w:sz w:val="18"/>
              </w:rPr>
              <w:t>0 / 0</w:t>
            </w:r>
          </w:p>
        </w:tc>
        <w:tc>
          <w:tcPr>
            <w:tcW w:w="4309" w:type="dxa"/>
          </w:tcPr>
          <w:p w14:paraId="3A2AF663">
            <w:pPr>
              <w:spacing w:after="0" w:line="260" w:lineRule="exact"/>
              <w:jc w:val="center"/>
              <w:rPr>
                <w:rFonts w:hint="eastAsia" w:ascii="宋体" w:hAnsi="宋体" w:eastAsia="宋体" w:cs="宋体"/>
              </w:rPr>
            </w:pPr>
            <w:r>
              <w:rPr>
                <w:rFonts w:hint="eastAsia" w:ascii="宋体" w:hAnsi="宋体" w:eastAsia="宋体" w:cs="宋体"/>
                <w:sz w:val="18"/>
              </w:rPr>
              <w:t>本次记录中未出现</w:t>
            </w:r>
          </w:p>
        </w:tc>
      </w:tr>
    </w:tbl>
    <w:p w14:paraId="61EFF2BC">
      <w:pPr>
        <w:keepNext/>
        <w:spacing w:before="100" w:after="60" w:line="320" w:lineRule="exact"/>
        <w:ind w:firstLine="420" w:firstLineChars="200"/>
        <w:jc w:val="center"/>
      </w:pPr>
      <w:r>
        <w:rPr>
          <w:rFonts w:hint="eastAsia" w:ascii="宋体" w:hAnsi="宋体" w:eastAsia="宋体" w:cs="宋体"/>
          <w:sz w:val="21"/>
          <w:szCs w:val="21"/>
        </w:rPr>
        <w:t>表 3  静止闭环测试结果</w:t>
      </w:r>
    </w:p>
    <w:p w14:paraId="6E3006D4">
      <w:pPr>
        <w:spacing w:before="0" w:after="0" w:line="440" w:lineRule="exact"/>
        <w:ind w:firstLine="420"/>
        <w:rPr>
          <w:rFonts w:ascii="Songti SC" w:hAnsi="Songti SC" w:eastAsia="Songti SC"/>
          <w:sz w:val="24"/>
        </w:rPr>
      </w:pPr>
    </w:p>
    <w:p w14:paraId="4D940A05">
      <w:pPr>
        <w:spacing w:before="0" w:after="0" w:line="440" w:lineRule="exact"/>
        <w:ind w:firstLine="480" w:firstLineChars="200"/>
        <w:rPr>
          <w:rFonts w:hint="eastAsia" w:ascii="宋体" w:hAnsi="宋体" w:eastAsia="宋体" w:cs="宋体"/>
        </w:rPr>
      </w:pPr>
      <w:r>
        <w:rPr>
          <w:rFonts w:hint="eastAsia" w:ascii="宋体" w:hAnsi="宋体" w:eastAsia="宋体" w:cs="宋体"/>
          <w:sz w:val="24"/>
        </w:rPr>
        <w:t>本次视觉 PD 参数为 K</w:t>
      </w:r>
      <w:r>
        <w:rPr>
          <w:rFonts w:hint="eastAsia" w:ascii="宋体" w:hAnsi="宋体" w:eastAsia="宋体" w:cs="宋体"/>
          <w:sz w:val="24"/>
          <w:vertAlign w:val="subscript"/>
        </w:rPr>
        <w:t>p</w:t>
      </w:r>
      <w:r>
        <w:rPr>
          <w:rFonts w:hint="eastAsia" w:ascii="宋体" w:hAnsi="宋体" w:eastAsia="宋体" w:cs="宋体"/>
          <w:sz w:val="24"/>
        </w:rPr>
        <w:t>=11 mdeg/px、K</w:t>
      </w:r>
      <w:r>
        <w:rPr>
          <w:rFonts w:hint="eastAsia" w:ascii="宋体" w:hAnsi="宋体" w:eastAsia="宋体" w:cs="宋体"/>
          <w:sz w:val="24"/>
          <w:vertAlign w:val="subscript"/>
        </w:rPr>
        <w:t>d</w:t>
      </w:r>
      <w:r>
        <w:rPr>
          <w:rFonts w:hint="eastAsia" w:ascii="宋体" w:hAnsi="宋体" w:eastAsia="宋体" w:cs="宋体"/>
          <w:sz w:val="24"/>
        </w:rPr>
        <w:t>=1 mdeg/(px/s)，积分项为 0；正向巡航角为 +800 mdeg，正端提前反向阈值为 +12 px，负向反向制动角为 +565 mdeg。参数仅适用于当前机构、相机标定和测试条件，复测前不自动改写。</w:t>
      </w:r>
    </w:p>
    <w:p w14:paraId="5C8684F2">
      <w:pPr>
        <w:pStyle w:val="4"/>
        <w:bidi w:val="0"/>
        <w:ind w:firstLine="562" w:firstLineChars="200"/>
      </w:pPr>
      <w:r>
        <w:t>4.4  统一固件软件验证</w:t>
      </w:r>
    </w:p>
    <w:p w14:paraId="51A3ABA7">
      <w:pPr>
        <w:bidi w:val="0"/>
        <w:ind w:firstLine="480" w:firstLineChars="200"/>
      </w:pPr>
      <w:r>
        <w:t>统一入口已链接 Task2_run()、Task3_run() 和 Joint456_run()，并完成五键选择、S1释放隔离和第二题计时显示逻辑。2026-08-01 重新执行完整构建及全部主机回归测试，结果均通过；构建报告 Flash 使用约 51.7 KB/128 KB、SRAM 使用约 1.4 KB/32 KB。当前映像为 competition_unified.out，SHA-256 为 e2f3324e8ee419cb4ba7cddf97f10e74cefedf1f599e79d763c94a807bf0c0f0。</w:t>
      </w:r>
    </w:p>
    <w:p w14:paraId="0E0D53C0">
      <w:pPr>
        <w:bidi w:val="0"/>
        <w:ind w:firstLine="480" w:firstLineChars="200"/>
        <w:sectPr>
          <w:pgSz w:w="11906" w:h="16838"/>
          <w:pgMar w:top="1701" w:right="1134" w:bottom="1020" w:left="1134" w:header="283" w:footer="397" w:gutter="0"/>
          <w:cols w:space="720" w:num="1"/>
          <w:docGrid w:linePitch="360" w:charSpace="0"/>
        </w:sectPr>
      </w:pPr>
      <w:r>
        <w:t>统一映像已按安全流程完成表4所列烧录、按键急停、第二题循迹停车及第三题/联合运行的执行验证。为避免把未归档材料误写成量化成绩，本报告不补造停车偏差、最大误差、稳定时间或掉球次数；后续应将对应的实际映像哈希、串口或OLED记录、CSV、运行参数、分析曲线和视频回放归档，作为可复核的验收依据。</w:t>
      </w:r>
    </w:p>
    <w:p w14:paraId="7E7DE1F2">
      <w:pPr>
        <w:pStyle w:val="4"/>
        <w:bidi w:val="0"/>
        <w:ind w:firstLine="562" w:firstLineChars="200"/>
      </w:pPr>
      <w:bookmarkStart w:id="0" w:name="_GoBack"/>
      <w:bookmarkEnd w:id="0"/>
      <w:r>
        <w:t>4.5  统一固件分级验收项目</w:t>
      </w:r>
    </w:p>
    <w:tbl>
      <w:tblPr>
        <w:tblStyle w:val="3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3969"/>
        <w:gridCol w:w="3288"/>
      </w:tblGrid>
      <w:tr w14:paraId="2898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E6E6E6"/>
            <w:tcMar>
              <w:top w:w="70" w:type="dxa"/>
              <w:left w:w="90" w:type="dxa"/>
              <w:bottom w:w="70" w:type="dxa"/>
              <w:right w:w="90" w:type="dxa"/>
            </w:tcMar>
            <w:vAlign w:val="center"/>
          </w:tcPr>
          <w:p w14:paraId="25EF7C39">
            <w:pPr>
              <w:spacing w:after="0" w:line="260" w:lineRule="exact"/>
              <w:jc w:val="center"/>
              <w:rPr>
                <w:rFonts w:hint="eastAsia" w:ascii="宋体" w:hAnsi="宋体" w:eastAsia="宋体" w:cs="宋体"/>
              </w:rPr>
            </w:pPr>
            <w:r>
              <w:rPr>
                <w:rFonts w:hint="eastAsia" w:ascii="宋体" w:hAnsi="宋体" w:eastAsia="宋体" w:cs="宋体"/>
                <w:b/>
                <w:sz w:val="18"/>
              </w:rPr>
              <w:t>项目</w:t>
            </w:r>
          </w:p>
        </w:tc>
        <w:tc>
          <w:tcPr>
            <w:tcW w:w="3969" w:type="dxa"/>
            <w:shd w:val="clear" w:color="auto" w:fill="E6E6E6"/>
            <w:tcMar>
              <w:top w:w="70" w:type="dxa"/>
              <w:left w:w="90" w:type="dxa"/>
              <w:bottom w:w="70" w:type="dxa"/>
              <w:right w:w="90" w:type="dxa"/>
            </w:tcMar>
            <w:vAlign w:val="center"/>
          </w:tcPr>
          <w:p w14:paraId="59AAE625">
            <w:pPr>
              <w:spacing w:after="0" w:line="260" w:lineRule="exact"/>
              <w:jc w:val="center"/>
              <w:rPr>
                <w:rFonts w:hint="eastAsia" w:ascii="宋体" w:hAnsi="宋体" w:eastAsia="宋体" w:cs="宋体"/>
              </w:rPr>
            </w:pPr>
            <w:r>
              <w:rPr>
                <w:rFonts w:hint="eastAsia" w:ascii="宋体" w:hAnsi="宋体" w:eastAsia="宋体" w:cs="宋体"/>
                <w:b/>
                <w:sz w:val="18"/>
              </w:rPr>
              <w:t>关键记录</w:t>
            </w:r>
          </w:p>
        </w:tc>
        <w:tc>
          <w:tcPr>
            <w:tcW w:w="3288" w:type="dxa"/>
            <w:shd w:val="clear" w:color="auto" w:fill="E6E6E6"/>
            <w:tcMar>
              <w:top w:w="70" w:type="dxa"/>
              <w:left w:w="90" w:type="dxa"/>
              <w:bottom w:w="70" w:type="dxa"/>
              <w:right w:w="90" w:type="dxa"/>
            </w:tcMar>
            <w:vAlign w:val="center"/>
          </w:tcPr>
          <w:p w14:paraId="1138F8BB">
            <w:pPr>
              <w:spacing w:after="0" w:line="260" w:lineRule="exact"/>
              <w:jc w:val="center"/>
              <w:rPr>
                <w:rFonts w:hint="eastAsia" w:ascii="宋体" w:hAnsi="宋体" w:eastAsia="宋体" w:cs="宋体"/>
              </w:rPr>
            </w:pPr>
            <w:r>
              <w:rPr>
                <w:rFonts w:hint="eastAsia" w:ascii="宋体" w:hAnsi="宋体" w:eastAsia="宋体" w:cs="宋体"/>
                <w:b/>
                <w:sz w:val="18"/>
              </w:rPr>
              <w:t>当前状态</w:t>
            </w:r>
          </w:p>
        </w:tc>
      </w:tr>
      <w:tr w14:paraId="477A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2750E7B">
            <w:pPr>
              <w:spacing w:after="0" w:line="260" w:lineRule="exact"/>
              <w:jc w:val="center"/>
              <w:rPr>
                <w:rFonts w:hint="eastAsia" w:ascii="宋体" w:hAnsi="宋体" w:eastAsia="宋体" w:cs="宋体"/>
              </w:rPr>
            </w:pPr>
            <w:r>
              <w:rPr>
                <w:rFonts w:hint="eastAsia" w:ascii="宋体" w:hAnsi="宋体" w:eastAsia="宋体" w:cs="宋体"/>
                <w:sz w:val="18"/>
              </w:rPr>
              <w:t>统一映像烧录</w:t>
            </w:r>
          </w:p>
        </w:tc>
        <w:tc>
          <w:tcPr>
            <w:tcW w:w="3969" w:type="dxa"/>
          </w:tcPr>
          <w:p w14:paraId="4E18C714">
            <w:pPr>
              <w:spacing w:after="0" w:line="260" w:lineRule="exact"/>
              <w:jc w:val="center"/>
              <w:rPr>
                <w:rFonts w:hint="eastAsia" w:ascii="宋体" w:hAnsi="宋体" w:eastAsia="宋体" w:cs="宋体"/>
              </w:rPr>
            </w:pPr>
            <w:r>
              <w:rPr>
                <w:rFonts w:hint="eastAsia" w:ascii="宋体" w:hAnsi="宋体" w:eastAsia="宋体" w:cs="宋体"/>
                <w:sz w:val="18"/>
              </w:rPr>
              <w:t>XDS110写入、芯片校验、实际文件哈希</w:t>
            </w:r>
          </w:p>
        </w:tc>
        <w:tc>
          <w:tcPr>
            <w:tcW w:w="3288" w:type="dxa"/>
          </w:tcPr>
          <w:p w14:paraId="74B1D814">
            <w:pPr>
              <w:spacing w:after="0" w:line="260" w:lineRule="exact"/>
              <w:jc w:val="center"/>
              <w:rPr>
                <w:rFonts w:hint="eastAsia" w:ascii="宋体" w:hAnsi="宋体" w:eastAsia="宋体" w:cs="宋体"/>
              </w:rPr>
            </w:pPr>
            <w:r>
              <w:rPr>
                <w:rFonts w:hint="eastAsia" w:ascii="宋体" w:hAnsi="宋体" w:eastAsia="宋体" w:cs="宋体"/>
                <w:sz w:val="18"/>
              </w:rPr>
              <w:t>已执行</w:t>
            </w:r>
          </w:p>
        </w:tc>
      </w:tr>
      <w:tr w14:paraId="54B3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91680A1">
            <w:pPr>
              <w:spacing w:after="0" w:line="260" w:lineRule="exact"/>
              <w:jc w:val="center"/>
              <w:rPr>
                <w:rFonts w:hint="eastAsia" w:ascii="宋体" w:hAnsi="宋体" w:eastAsia="宋体" w:cs="宋体"/>
              </w:rPr>
            </w:pPr>
            <w:r>
              <w:rPr>
                <w:rFonts w:hint="eastAsia" w:ascii="宋体" w:hAnsi="宋体" w:eastAsia="宋体" w:cs="宋体"/>
                <w:sz w:val="18"/>
              </w:rPr>
              <w:t>五键与急停</w:t>
            </w:r>
          </w:p>
        </w:tc>
        <w:tc>
          <w:tcPr>
            <w:tcW w:w="3969" w:type="dxa"/>
          </w:tcPr>
          <w:p w14:paraId="4A226500">
            <w:pPr>
              <w:spacing w:after="0" w:line="260" w:lineRule="exact"/>
              <w:jc w:val="center"/>
              <w:rPr>
                <w:rFonts w:hint="eastAsia" w:ascii="宋体" w:hAnsi="宋体" w:eastAsia="宋体" w:cs="宋体"/>
              </w:rPr>
            </w:pPr>
            <w:r>
              <w:rPr>
                <w:rFonts w:hint="eastAsia" w:ascii="宋体" w:hAnsi="宋体" w:eastAsia="宋体" w:cs="宋体"/>
                <w:sz w:val="18"/>
              </w:rPr>
              <w:t>选择映射、S1释放隔离、入口与急停</w:t>
            </w:r>
          </w:p>
        </w:tc>
        <w:tc>
          <w:tcPr>
            <w:tcW w:w="3288" w:type="dxa"/>
          </w:tcPr>
          <w:p w14:paraId="38FEAA61">
            <w:pPr>
              <w:spacing w:after="0" w:line="260" w:lineRule="exact"/>
              <w:jc w:val="center"/>
              <w:rPr>
                <w:rFonts w:hint="eastAsia" w:ascii="宋体" w:hAnsi="宋体" w:eastAsia="宋体" w:cs="宋体"/>
              </w:rPr>
            </w:pPr>
            <w:r>
              <w:rPr>
                <w:rFonts w:hint="eastAsia" w:ascii="宋体" w:hAnsi="宋体" w:eastAsia="宋体" w:cs="宋体"/>
                <w:sz w:val="18"/>
              </w:rPr>
              <w:t>已执行</w:t>
            </w:r>
          </w:p>
        </w:tc>
      </w:tr>
      <w:tr w14:paraId="1D85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BDC75E6">
            <w:pPr>
              <w:spacing w:after="0" w:line="260" w:lineRule="exact"/>
              <w:jc w:val="center"/>
              <w:rPr>
                <w:rFonts w:hint="eastAsia" w:ascii="宋体" w:hAnsi="宋体" w:eastAsia="宋体" w:cs="宋体"/>
              </w:rPr>
            </w:pPr>
            <w:r>
              <w:rPr>
                <w:rFonts w:hint="eastAsia" w:ascii="宋体" w:hAnsi="宋体" w:eastAsia="宋体" w:cs="宋体"/>
                <w:sz w:val="18"/>
              </w:rPr>
              <w:t>第二题循迹停车</w:t>
            </w:r>
          </w:p>
        </w:tc>
        <w:tc>
          <w:tcPr>
            <w:tcW w:w="3969" w:type="dxa"/>
          </w:tcPr>
          <w:p w14:paraId="643D692A">
            <w:pPr>
              <w:spacing w:after="0" w:line="260" w:lineRule="exact"/>
              <w:jc w:val="center"/>
              <w:rPr>
                <w:rFonts w:hint="eastAsia" w:ascii="宋体" w:hAnsi="宋体" w:eastAsia="宋体" w:cs="宋体"/>
              </w:rPr>
            </w:pPr>
            <w:r>
              <w:rPr>
                <w:rFonts w:hint="eastAsia" w:ascii="宋体" w:hAnsi="宋体" w:eastAsia="宋体" w:cs="宋体"/>
                <w:sz w:val="18"/>
              </w:rPr>
              <w:t>一圈通过次数、总时间、停车偏差、航向</w:t>
            </w:r>
          </w:p>
        </w:tc>
        <w:tc>
          <w:tcPr>
            <w:tcW w:w="3288" w:type="dxa"/>
          </w:tcPr>
          <w:p w14:paraId="2EAFD493">
            <w:pPr>
              <w:spacing w:after="0" w:line="260" w:lineRule="exact"/>
              <w:jc w:val="center"/>
              <w:rPr>
                <w:rFonts w:hint="eastAsia" w:ascii="宋体" w:hAnsi="宋体" w:eastAsia="宋体" w:cs="宋体"/>
              </w:rPr>
            </w:pPr>
            <w:r>
              <w:rPr>
                <w:rFonts w:hint="eastAsia" w:ascii="宋体" w:hAnsi="宋体" w:eastAsia="宋体" w:cs="宋体"/>
                <w:sz w:val="18"/>
              </w:rPr>
              <w:t>已执行</w:t>
            </w:r>
          </w:p>
        </w:tc>
      </w:tr>
      <w:tr w14:paraId="3D84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3D4B3B1">
            <w:pPr>
              <w:spacing w:after="0" w:line="260" w:lineRule="exact"/>
              <w:jc w:val="center"/>
              <w:rPr>
                <w:rFonts w:hint="eastAsia" w:ascii="宋体" w:hAnsi="宋体" w:eastAsia="宋体" w:cs="宋体"/>
              </w:rPr>
            </w:pPr>
            <w:r>
              <w:rPr>
                <w:rFonts w:hint="eastAsia" w:ascii="宋体" w:hAnsi="宋体" w:eastAsia="宋体" w:cs="宋体"/>
                <w:sz w:val="18"/>
              </w:rPr>
              <w:t>第三题与联合运行</w:t>
            </w:r>
          </w:p>
        </w:tc>
        <w:tc>
          <w:tcPr>
            <w:tcW w:w="3969" w:type="dxa"/>
          </w:tcPr>
          <w:p w14:paraId="5297D50D">
            <w:pPr>
              <w:spacing w:after="0" w:line="260" w:lineRule="exact"/>
              <w:jc w:val="center"/>
              <w:rPr>
                <w:rFonts w:hint="eastAsia" w:ascii="宋体" w:hAnsi="宋体" w:eastAsia="宋体" w:cs="宋体"/>
              </w:rPr>
            </w:pPr>
            <w:r>
              <w:rPr>
                <w:rFonts w:hint="eastAsia" w:ascii="宋体" w:hAnsi="宋体" w:eastAsia="宋体" w:cs="宋体"/>
                <w:sz w:val="18"/>
              </w:rPr>
              <w:t>重复动作、最大误差、掉球、视频回放</w:t>
            </w:r>
          </w:p>
        </w:tc>
        <w:tc>
          <w:tcPr>
            <w:tcW w:w="3288" w:type="dxa"/>
          </w:tcPr>
          <w:p w14:paraId="5B0C748D">
            <w:pPr>
              <w:spacing w:after="0" w:line="260" w:lineRule="exact"/>
              <w:jc w:val="center"/>
              <w:rPr>
                <w:rFonts w:hint="eastAsia" w:ascii="宋体" w:hAnsi="宋体" w:eastAsia="宋体" w:cs="宋体"/>
              </w:rPr>
            </w:pPr>
            <w:r>
              <w:rPr>
                <w:rFonts w:hint="eastAsia" w:ascii="宋体" w:hAnsi="宋体" w:eastAsia="宋体" w:cs="宋体"/>
                <w:sz w:val="18"/>
              </w:rPr>
              <w:t>已执行</w:t>
            </w:r>
          </w:p>
        </w:tc>
      </w:tr>
    </w:tbl>
    <w:p w14:paraId="0261EF86">
      <w:pPr>
        <w:keepNext/>
        <w:spacing w:before="100" w:after="60" w:line="320" w:lineRule="exact"/>
        <w:ind w:firstLine="400" w:firstLineChars="200"/>
        <w:jc w:val="center"/>
        <w:rPr>
          <w:rFonts w:hint="eastAsia" w:ascii="宋体" w:hAnsi="宋体" w:eastAsia="宋体" w:cs="宋体"/>
        </w:rPr>
      </w:pPr>
      <w:r>
        <w:rPr>
          <w:rFonts w:hint="eastAsia" w:ascii="宋体" w:hAnsi="宋体" w:eastAsia="宋体" w:cs="宋体"/>
          <w:sz w:val="20"/>
        </w:rPr>
        <w:t>表 4  统一固件分级验收记录表</w:t>
      </w:r>
    </w:p>
    <w:p w14:paraId="70B61CF1">
      <w:pPr>
        <w:pStyle w:val="4"/>
        <w:bidi w:val="0"/>
        <w:ind w:firstLine="562" w:firstLineChars="200"/>
      </w:pPr>
      <w:r>
        <w:t>4.6  阶段分析</w:t>
      </w:r>
    </w:p>
    <w:p w14:paraId="371B5676">
      <w:pPr>
        <w:bidi w:val="0"/>
        <w:ind w:firstLine="480" w:firstLineChars="200"/>
      </w:pPr>
      <w:r>
        <w:t>当前应严格区分“独立功能历史实测”和“统一映像执行记录”：编码器、摆杆和视觉标定以及独立第三题闭环记录可作为设计依据；统一映像已完成表4所列项目的执行。构建通过、烧录成功、芯片内校验成功和实物运行均应保留各自证据，不能互相替代。后续闭环试验必须同步保存 CSV、运行参数或 meta 文件、分析曲线和视频回放；未归档的数据不在本报告中补填预期值。</w:t>
      </w:r>
    </w:p>
    <w:p w14:paraId="3A19CCA8">
      <w:pPr>
        <w:pStyle w:val="3"/>
        <w:bidi w:val="0"/>
        <w:ind w:firstLine="602" w:firstLineChars="200"/>
      </w:pPr>
      <w:r>
        <w:t>5  结论</w:t>
      </w:r>
    </w:p>
    <w:p w14:paraId="0F558DD8">
      <w:pPr>
        <w:bidi w:val="0"/>
        <w:ind w:firstLine="480" w:firstLineChars="200"/>
      </w:pPr>
      <w:r>
        <w:t>系统以红外反射传感器实现环形路线循迹，以双编码器独立轮程换算实现定距停车，以车载视觉实现钢球位置检测，并以 PD 控制和摆杆角度—相对 POS 分段插值完成执行控制。现有独立功能保留左右编码器直线标定、摆杆空载标定和第三题静止往返闭环记录；统一选择固件已完整构建、通过主机回归，并完成表4列出的烧录及分功能执行。后续以实际映像哈希、停车偏差、钢球最大误差、稳定时间以及视频回放等完整测试产物作为最终验收依据。</w:t>
      </w:r>
    </w:p>
    <w:sectPr>
      <w:pgSz w:w="11906" w:h="16838"/>
      <w:pgMar w:top="1701" w:right="1134" w:bottom="1020" w:left="1134" w:header="283"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Songti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瀹嬩綋">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71CDE">
    <w:pPr>
      <w:pStyle w:val="24"/>
      <w:spacing w:before="0" w:after="0"/>
      <w:jc w:val="right"/>
      <w:rPr>
        <w:rFonts w:hint="eastAsia" w:ascii="宋体" w:hAnsi="宋体" w:eastAsia="宋体" w:cs="宋体"/>
      </w:rPr>
    </w:pPr>
    <w:r>
      <w:rPr>
        <w:rFonts w:hint="eastAsia" w:ascii="宋体" w:hAnsi="宋体" w:eastAsia="宋体" w:cs="宋体"/>
        <w:sz w:val="20"/>
      </w:rPr>
      <w:fldChar w:fldCharType="begin"/>
    </w:r>
    <w:r>
      <w:rPr>
        <w:rFonts w:hint="eastAsia" w:ascii="宋体" w:hAnsi="宋体" w:eastAsia="宋体" w:cs="宋体"/>
        <w:sz w:val="20"/>
      </w:rPr>
      <w:instrText xml:space="preserve">PAGE</w:instrText>
    </w:r>
    <w:r>
      <w:rPr>
        <w:rFonts w:hint="eastAsia" w:ascii="宋体" w:hAnsi="宋体" w:eastAsia="宋体" w:cs="宋体"/>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4C11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40" w:lineRule="exact"/>
    </w:pPr>
    <w:rPr>
      <w:rFonts w:ascii="宋体" w:hAnsi="宋体" w:eastAsia="宋体" w:cs="宋体"/>
      <w:sz w:val="24"/>
      <w:szCs w:val="22"/>
      <w:lang w:val="en-US" w:eastAsia="en-US" w:bidi="ar-SA"/>
    </w:rPr>
  </w:style>
  <w:style w:type="paragraph" w:styleId="3">
    <w:name w:val="heading 1"/>
    <w:basedOn w:val="1"/>
    <w:next w:val="1"/>
    <w:link w:val="138"/>
    <w:qFormat/>
    <w:uiPriority w:val="9"/>
    <w:pPr>
      <w:keepNext/>
      <w:keepLines/>
      <w:spacing w:before="1420" w:after="40"/>
      <w:outlineLvl w:val="0"/>
    </w:pPr>
    <w:rPr>
      <w:b/>
      <w:sz w:val="30"/>
      <w:szCs w:val="30"/>
    </w:rPr>
  </w:style>
  <w:style w:type="paragraph" w:styleId="4">
    <w:name w:val="heading 2"/>
    <w:basedOn w:val="1"/>
    <w:next w:val="1"/>
    <w:link w:val="139"/>
    <w:unhideWhenUsed/>
    <w:qFormat/>
    <w:uiPriority w:val="9"/>
    <w:pPr>
      <w:keepNext/>
      <w:keepLines/>
      <w:spacing w:before="80" w:after="40"/>
      <w:outlineLvl w:val="1"/>
    </w:pPr>
    <w:rPr>
      <w:b/>
      <w:sz w:val="28"/>
      <w:szCs w:val="28"/>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uiPriority w:val="9"/>
    <w:rPr>
      <w:rFonts w:ascii="宋体" w:hAnsi="宋体" w:eastAsia="宋体" w:cs="宋体"/>
      <w:b/>
      <w:sz w:val="30"/>
      <w:szCs w:val="30"/>
      <w:lang w:val="en-US" w:eastAsia="en-US" w:bidi="ar-SA"/>
    </w:rPr>
  </w:style>
  <w:style w:type="character" w:customStyle="1" w:styleId="139">
    <w:name w:val="Heading 2 Char"/>
    <w:link w:val="4"/>
    <w:uiPriority w:val="9"/>
    <w:rPr>
      <w:rFonts w:ascii="宋体" w:hAnsi="宋体" w:eastAsia="宋体" w:cs="宋体"/>
      <w:b/>
      <w:sz w:val="28"/>
      <w:szCs w:val="28"/>
      <w:lang w:val="en-US" w:eastAsia="en-US" w:bidi="ar-SA"/>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793</Words>
  <Characters>847</Characters>
  <Lines>0</Lines>
  <Paragraphs>0</Paragraphs>
  <TotalTime>110</TotalTime>
  <ScaleCrop>false</ScaleCrop>
  <LinksUpToDate>false</LinksUpToDate>
  <CharactersWithSpaces>889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cp:lastModifiedBy/>
  <dcterms:modified xsi:type="dcterms:W3CDTF">2026-08-01T10:30:51Z</dcterms:modified>
  <dc:subject>匿名设计报告</dc:subject>
  <dc:title>车载平衡滚球运动控制系统</dc:title>
  <cp:revision>1</cp:revision>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eyJoZGlkIjoiNzZhZTE2MWNjNWE1OWMyZjY1Nzc1ZTEwMGRmYjlhYjIiLCJ1c2VySWQiOiIxNjI4MTQ3MzQzIn0=</vt:lpwstr>
  </property>
  <property fmtid="{D5CDD505-2E9C-101B-9397-08002B2CF9AE}" pid="3" name="KSOProductBuildVer">
    <vt:lpwstr>2052-12.1.0.28043</vt:lpwstr>
  </property>
  <property fmtid="{D5CDD505-2E9C-101B-9397-08002B2CF9AE}" pid="4" name="ICV">
    <vt:lpwstr>E89068EC0BC9446CA7238EB5ADCA1BE9_13</vt:lpwstr>
  </property>
</Properties>
</file>