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1D483" w14:textId="539EEBE2" w:rsidR="00F13AAD" w:rsidRDefault="00124668">
      <w:pPr>
        <w:rPr>
          <w:lang w:val="de-CH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Adrian König is a Ph.D. candidate at the Institute of International Private Law and Procedural Law at the University of Bern. His research focuses on data-science driven litigation.</w:t>
      </w:r>
    </w:p>
    <w:p w14:paraId="738496C9" w14:textId="633EA273" w:rsidR="00124668" w:rsidRDefault="00124668">
      <w:pPr>
        <w:rPr>
          <w:lang w:val="de-CH"/>
        </w:rPr>
      </w:pPr>
      <w:r>
        <w:rPr>
          <w:lang w:val="de-CH"/>
        </w:rPr>
        <w:t xml:space="preserve">Academic </w:t>
      </w:r>
      <w:proofErr w:type="spellStart"/>
      <w:r>
        <w:rPr>
          <w:lang w:val="de-CH"/>
        </w:rPr>
        <w:t>Qualifications</w:t>
      </w:r>
      <w:proofErr w:type="spellEnd"/>
    </w:p>
    <w:p>
      <w:r>
        <w:rPr>
          <w:b/>
        </w:rPr>
        <w:t xml:space="preserve">University of Bern</w:t>
      </w:r>
      <w:r>
        <w:br/>
      </w:r>
      <w:r>
        <w:t xml:space="preserve">Bachelor of Law (BLaw)</w:t>
      </w:r>
      <w:r>
        <w:br/>
      </w:r>
      <w:r>
        <w:t xml:space="preserve">Sep 2018 – Feb 2023</w:t>
      </w:r>
    </w:p>
    <w:p>
      <w:r>
        <w:rPr>
          <w:b/>
        </w:rPr>
        <w:t xml:space="preserve">University of Bern</w:t>
      </w:r>
      <w:r>
        <w:br/>
      </w:r>
      <w:r>
        <w:t xml:space="preserve">Master of Law (MLaw) with an extracurricular BSc Mn. in Business Administration</w:t>
      </w:r>
      <w:r>
        <w:br/>
      </w:r>
      <w:r>
        <w:t xml:space="preserve">Feb 2023 – Sep 2024</w:t>
      </w:r>
    </w:p>
    <w:p>
      <w:r>
        <w:rPr>
          <w:b/>
        </w:rPr>
        <w:t xml:space="preserve">World Trade Institute (WTI)</w:t>
      </w:r>
      <w:r>
        <w:br/>
      </w:r>
      <w:r>
        <w:t xml:space="preserve">CAS, International Law and Economics (CAS ILE)</w:t>
      </w:r>
      <w:r>
        <w:br/>
      </w:r>
      <w:r>
        <w:t xml:space="preserve">Jul 2023 – Aug 2024</w:t>
      </w:r>
    </w:p>
    <w:p>
      <w:r>
        <w:rPr>
          <w:b/>
        </w:rPr>
        <w:t xml:space="preserve">University of Bern</w:t>
      </w:r>
      <w:r>
        <w:br/>
      </w:r>
      <w:r>
        <w:t xml:space="preserve">Master of Science in Business Administration, Corporate Finance</w:t>
      </w:r>
      <w:r>
        <w:br/>
      </w:r>
      <w:r>
        <w:t xml:space="preserve">Sep 2024 – Apr 2026</w:t>
      </w:r>
    </w:p>
    <w:p>
      <w:r>
        <w:rPr>
          <w:b/>
        </w:rPr>
        <w:t xml:space="preserve">University of Bern</w:t>
      </w:r>
      <w:r>
        <w:br/>
      </w:r>
      <w:r>
        <w:t xml:space="preserve">Ph.D. in Law, Data-Science Driven Litigation</w:t>
      </w:r>
      <w:r>
        <w:br/>
      </w:r>
      <w:r>
        <w:t xml:space="preserve">Jul 2025 – 2027</w:t>
      </w:r>
    </w:p>
    <w:p/>
    <w:p w14:paraId="42ACECAC" w14:textId="1173DF72" w:rsidR="00124668" w:rsidRPr="00124668" w:rsidRDefault="00124668">
      <w:pPr>
        <w:rPr>
          <w:lang w:val="de-CH"/>
        </w:rPr>
      </w:pPr>
      <w:r>
        <w:rPr>
          <w:lang w:val="de-CH"/>
        </w:rPr>
        <w:t>Publications</w:t>
      </w:r>
    </w:p>
    <w:p>
      <w:r>
        <w:rPr>
          <w:b/>
        </w:rPr>
        <w:t xml:space="preserve">Der englische «Letter before Action» – Systematik, Funktion und mögliche Auswirkungen im schweizerischen Zivilverfahren</w:t>
      </w:r>
      <w:r>
        <w:br/>
      </w:r>
      <w:r>
        <w:t xml:space="preserve">Adrian König/Robert Bradshaw</w:t>
      </w:r>
      <w:r>
        <w:br/>
      </w:r>
      <w:r>
        <w:t xml:space="preserve">ZZZ 72/2025, 361–371</w:t>
      </w:r>
    </w:p>
    <w:p>
      <w:r>
        <w:rPr>
          <w:b/>
        </w:rPr>
        <w:t xml:space="preserve">Private Claimants in Swiss Money Laundering Proceedings: Unlocking Evidence and Freezing Assets</w:t>
      </w:r>
      <w:r>
        <w:br/>
      </w:r>
      <w:r>
        <w:t xml:space="preserve">Benoît Mauron/Adam El-Hakim/Adrian König</w:t>
      </w:r>
      <w:r>
        <w:br/>
      </w:r>
      <w:r>
        <w:t xml:space="preserve">Lexology (online), 14 August 2025</w:t>
      </w:r>
    </w:p>
    <w:p>
      <w:r>
        <w:rPr>
          <w:b/>
        </w:rPr>
        <w:t xml:space="preserve">Gen-Z drängt ins Recht: Erste empirische Insights</w:t>
      </w:r>
      <w:r>
        <w:br/>
      </w:r>
      <w:r>
        <w:t xml:space="preserve">Adrian König/Roman Wixinger</w:t>
      </w:r>
      <w:r>
        <w:br/>
      </w:r>
      <w:r>
        <w:t xml:space="preserve">LAWSTYLE Nr. 19, 2025, 8–11</w:t>
      </w:r>
    </w:p>
    <w:p>
      <w:r>
        <w:rPr>
          <w:b/>
        </w:rPr>
        <w:t xml:space="preserve">Swiss Law Students' Employer Expectations – A First Empirical Insight</w:t>
      </w:r>
      <w:r>
        <w:br/>
      </w:r>
      <w:r>
        <w:t xml:space="preserve">Adrian König/Roman Wixinger</w:t>
      </w:r>
      <w:r>
        <w:br/>
      </w:r>
      <w:r>
        <w:t xml:space="preserve">Jusletter, 12 May 2025</w:t>
      </w:r>
    </w:p>
    <w:p>
      <w:r>
        <w:rPr>
          <w:b/>
        </w:rPr>
        <w:t xml:space="preserve">Corporate Climate Litigation – Klimahaftungsklagen gegen Unternehmen im Kontext des internationalen Zivilverfahrens- und Privatrechts</w:t>
      </w:r>
      <w:r>
        <w:br/>
      </w:r>
      <w:r>
        <w:t xml:space="preserve">Adrian König/Benjamin Sommerhalder</w:t>
      </w:r>
      <w:r>
        <w:br/>
      </w:r>
      <w:r>
        <w:t xml:space="preserve">AJP/PJA 3/2025, 261–273</w:t>
      </w:r>
    </w:p>
    <w:p>
      <w:r>
        <w:rPr>
          <w:b/>
        </w:rPr>
        <w:t xml:space="preserve">Fristenwirrwarr bei der Auskunfts- und Einsichtsklage (Art. 697b OR)</w:t>
      </w:r>
      <w:r>
        <w:br/>
      </w:r>
      <w:r>
        <w:t xml:space="preserve">Adrian König/André Brunschweiler</w:t>
      </w:r>
      <w:r>
        <w:br/>
      </w:r>
      <w:r>
        <w:t xml:space="preserve">legalis brief GesR 2/25, Leitartikel</w:t>
      </w:r>
    </w:p>
    <w:p>
      <w:r>
        <w:rPr>
          <w:b/>
        </w:rPr>
        <w:t xml:space="preserve">Verfahrensleitung an der Generalversammlung – Vorschläge zum Umgang mit mehreren Anträgen</w:t>
      </w:r>
      <w:r>
        <w:br/>
      </w:r>
      <w:r>
        <w:t xml:space="preserve">Marc Hanslin/Adrian König</w:t>
      </w:r>
      <w:r>
        <w:br/>
      </w:r>
      <w:r>
        <w:t xml:space="preserve">legalis brief GesR 7/24, Leitartikel</w:t>
      </w:r>
    </w:p>
    <w:p>
      <w:r>
        <w:rPr>
          <w:b/>
        </w:rPr>
        <w:t xml:space="preserve">Grenzen der ehelichen Verfügungsbeschränkung – BGer 5A_503/2023 vom 15. Juli 2024</w:t>
      </w:r>
      <w:r>
        <w:br/>
      </w:r>
      <w:r>
        <w:t xml:space="preserve">Adrian König</w:t>
      </w:r>
      <w:r>
        <w:br/>
      </w:r>
      <w:r>
        <w:t xml:space="preserve">Ius focus 10/2024, Nr. 243</w:t>
      </w:r>
    </w:p>
    <w:p>
      <w:r>
        <w:rPr>
          <w:b/>
        </w:rPr>
        <w:t xml:space="preserve">Iudex non calculat? Synthese von Recht und Mathematik</w:t>
      </w:r>
      <w:r>
        <w:br/>
      </w:r>
      <w:r>
        <w:t xml:space="preserve">Adrian König/Roman Wixinger/Cornelia Stengel</w:t>
      </w:r>
      <w:r>
        <w:br/>
      </w:r>
      <w:r>
        <w:t xml:space="preserve">Jusletter, 9 September 2024</w:t>
      </w:r>
    </w:p>
    <w:p>
      <w:r>
        <w:rPr>
          <w:b/>
        </w:rPr>
        <w:t xml:space="preserve">Holacracy: Management ohne Manager? Aktienrechtliche Verantwortlichkeit, Geschäftsführung und Compliance-Risiken in holokratisch strukturierten Gesellschaften</w:t>
      </w:r>
      <w:r>
        <w:br/>
      </w:r>
      <w:r>
        <w:t xml:space="preserve">Adrian König</w:t>
      </w:r>
      <w:r>
        <w:br/>
      </w:r>
      <w:r>
        <w:t xml:space="preserve">GesKR 3/2024, 417–426</w:t>
      </w:r>
    </w:p>
    <w:p>
      <w:r>
        <w:rPr>
          <w:b/>
        </w:rPr>
        <w:t xml:space="preserve">Bundesgericht, I. öffentlich-rechtliche Abteilung, Urteil 1B_174/2023 vom 21. April 2023</w:t>
      </w:r>
      <w:r>
        <w:br/>
      </w:r>
      <w:r>
        <w:t xml:space="preserve">Adrian König</w:t>
      </w:r>
      <w:r>
        <w:br/>
      </w:r>
      <w:r>
        <w:t xml:space="preserve">AJP/PJA 6/2024, 620–624</w:t>
      </w:r>
    </w:p>
    <w:p>
      <w:r>
        <w:rPr>
          <w:b/>
        </w:rPr>
        <w:t xml:space="preserve">Décharge und Corporate Governance</w:t>
      </w:r>
      <w:r>
        <w:br/>
      </w:r>
      <w:r>
        <w:t xml:space="preserve">Adrian König</w:t>
      </w:r>
      <w:r>
        <w:br/>
      </w:r>
      <w:r>
        <w:t xml:space="preserve">GesKR 4/2023, 496–504</w:t>
      </w:r>
    </w:p>
    <w:p>
      <w:r>
        <w:rPr>
          <w:b/>
        </w:rPr>
        <w:t xml:space="preserve">Prozessieren gegen Lloyd's Syndikate – BGer 4A_323/2022 vom 5. Dezember 2022</w:t>
      </w:r>
      <w:r>
        <w:br/>
      </w:r>
      <w:r>
        <w:t xml:space="preserve">Laura Manz/Adrian König</w:t>
      </w:r>
      <w:r>
        <w:br/>
      </w:r>
      <w:r>
        <w:t xml:space="preserve">Ius focus 3/2023, Nr. 67</w:t>
      </w:r>
    </w:p>
    <w:sectPr w:rsidR="00124668" w:rsidRPr="00124668">
      <w:pgSz w:w="12240" w:h="15840"/>
      <w:pgMar w:top="1440" w:right="1440" w:bottom="1440" w:left="1440" w:header="720" w:footer="720" w:gutter="0"/>
      <w:cols w:space="720"/>
      <w:docGrid w:linePitch="360"/>
    </w:sectPr>
    <w:p/>
    <w:p>
      <w:r>
        <w:t xml:space="preserve">Get Connected</w:t>
      </w:r>
    </w:p>
    <w:p>
      <w:r>
        <w:t xml:space="preserve">Feel free to connect on LinkedIn: www.linkedin.com/in/akoe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54B40"/>
    <w:multiLevelType w:val="multilevel"/>
    <w:tmpl w:val="5D109544"/>
    <w:lvl w:ilvl="0">
      <w:start w:val="1"/>
      <w:numFmt w:val="decimal"/>
      <w:pStyle w:val="HEADER1"/>
      <w:lvlText w:val="%1"/>
      <w:lvlJc w:val="left"/>
      <w:pPr>
        <w:ind w:left="471" w:hanging="471"/>
      </w:pPr>
      <w:rPr>
        <w:rFonts w:hint="default"/>
      </w:rPr>
    </w:lvl>
    <w:lvl w:ilvl="1">
      <w:start w:val="1"/>
      <w:numFmt w:val="decimal"/>
      <w:pStyle w:val="HEADER2"/>
      <w:lvlText w:val="%1.%2"/>
      <w:lvlJc w:val="left"/>
      <w:pPr>
        <w:ind w:left="612" w:hanging="61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82" w:hanging="78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4" w:hanging="96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lvlRestart w:val="0"/>
      <w:suff w:val="space"/>
      <w:lvlText w:val="Ad"/>
      <w:lvlJc w:val="left"/>
      <w:pPr>
        <w:ind w:left="0" w:firstLine="0"/>
      </w:pPr>
      <w:rPr>
        <w:rFonts w:hint="default"/>
      </w:rPr>
    </w:lvl>
  </w:abstractNum>
  <w:num w:numId="1" w16cid:durableId="310251213">
    <w:abstractNumId w:val="0"/>
  </w:num>
  <w:num w:numId="2" w16cid:durableId="1672371318">
    <w:abstractNumId w:val="0"/>
  </w:num>
  <w:num w:numId="3" w16cid:durableId="838738905">
    <w:abstractNumId w:val="0"/>
  </w:num>
  <w:num w:numId="4" w16cid:durableId="100783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68"/>
    <w:rsid w:val="000B1F83"/>
    <w:rsid w:val="00124668"/>
    <w:rsid w:val="008F1D28"/>
    <w:rsid w:val="0098004C"/>
    <w:rsid w:val="00BC1C9B"/>
    <w:rsid w:val="00D051F1"/>
    <w:rsid w:val="00D247D7"/>
    <w:rsid w:val="00EF4EDC"/>
    <w:rsid w:val="00F038F1"/>
    <w:rsid w:val="00F1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3BE8D"/>
  <w15:chartTrackingRefBased/>
  <w15:docId w15:val="{87A307F6-373C-FD4E-8BE8-856E4EF2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1">
    <w:name w:val="HEADER 1"/>
    <w:basedOn w:val="Normal"/>
    <w:next w:val="Normal"/>
    <w:autoRedefine/>
    <w:qFormat/>
    <w:rsid w:val="0098004C"/>
    <w:pPr>
      <w:keepNext/>
      <w:keepLines/>
      <w:numPr>
        <w:numId w:val="4"/>
      </w:numPr>
      <w:spacing w:before="320" w:after="200" w:line="320" w:lineRule="exact"/>
      <w:jc w:val="both"/>
      <w:outlineLvl w:val="0"/>
    </w:pPr>
    <w:rPr>
      <w:rFonts w:ascii="Arial" w:eastAsiaTheme="minorEastAsia" w:hAnsi="Arial"/>
      <w:b/>
      <w:caps/>
      <w:spacing w:val="12"/>
      <w:kern w:val="12"/>
      <w:szCs w:val="23"/>
      <w:lang w:val="de-CH" w:eastAsia="de-DE"/>
    </w:rPr>
  </w:style>
  <w:style w:type="paragraph" w:customStyle="1" w:styleId="HEADER2">
    <w:name w:val="HEADER 2"/>
    <w:basedOn w:val="HEADER1"/>
    <w:next w:val="Normal"/>
    <w:autoRedefine/>
    <w:qFormat/>
    <w:rsid w:val="0098004C"/>
    <w:pPr>
      <w:numPr>
        <w:ilvl w:val="1"/>
      </w:numPr>
      <w:outlineLvl w:val="1"/>
    </w:pPr>
    <w:rPr>
      <w:caps w:val="0"/>
      <w:spacing w:val="0"/>
    </w:rPr>
  </w:style>
  <w:style w:type="paragraph" w:customStyle="1" w:styleId="TEXTNORMAL">
    <w:name w:val="TEXT NORMAL"/>
    <w:autoRedefine/>
    <w:qFormat/>
    <w:rsid w:val="0098004C"/>
    <w:pPr>
      <w:spacing w:after="200" w:line="320" w:lineRule="exact"/>
      <w:jc w:val="both"/>
    </w:pPr>
    <w:rPr>
      <w:rFonts w:ascii="Arial" w:eastAsiaTheme="minorEastAsia" w:hAnsi="Arial"/>
      <w:kern w:val="12"/>
      <w:sz w:val="23"/>
      <w:szCs w:val="23"/>
      <w:lang w:val="de-CH" w:eastAsia="de-DE"/>
    </w:rPr>
  </w:style>
  <w:style w:type="character" w:customStyle="1" w:styleId="Heading1Char">
    <w:name w:val="Heading 1 Char"/>
    <w:basedOn w:val="DefaultParagraphFont"/>
    <w:link w:val="Heading1"/>
    <w:uiPriority w:val="9"/>
    <w:rsid w:val="00124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König, Adrian (STUDENTS)</dc:creator>
  <cp:keywords/>
  <dc:description/>
  <cp:lastModifiedBy>König, Adrian (STUDENTS)</cp:lastModifiedBy>
  <cp:revision>1</cp:revision>
  <dcterms:created xsi:type="dcterms:W3CDTF">2026-04-02T11:43:00Z</dcterms:created>
  <dcterms:modified xsi:type="dcterms:W3CDTF">2026-04-02T11:45:00Z</dcterms:modified>
</cp:coreProperties>
</file>