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1E21" w14:textId="77777777" w:rsidR="003B39A4" w:rsidRDefault="003B39A4" w:rsidP="003B39A4">
      <w:pPr>
        <w:pStyle w:val="Sansinterligne"/>
      </w:pPr>
    </w:p>
    <w:p w14:paraId="08CD9A02" w14:textId="77777777" w:rsidR="003B39A4" w:rsidRDefault="003B39A4" w:rsidP="003B39A4">
      <w:pPr>
        <w:pStyle w:val="Sansinterligne"/>
      </w:pPr>
    </w:p>
    <w:p w14:paraId="7788BF93" w14:textId="77777777" w:rsidR="003B39A4" w:rsidRDefault="003B39A4" w:rsidP="003B39A4">
      <w:pPr>
        <w:pStyle w:val="Sansinterligne"/>
        <w:jc w:val="center"/>
      </w:pPr>
    </w:p>
    <w:p w14:paraId="3B1141C4" w14:textId="53EF9718" w:rsidR="003B39A4" w:rsidRDefault="003B39A4" w:rsidP="003B39A4">
      <w:pPr>
        <w:pStyle w:val="Titre"/>
        <w:jc w:val="center"/>
      </w:pPr>
      <w:r>
        <w:t>TD1</w:t>
      </w:r>
    </w:p>
    <w:p w14:paraId="55EA9E3D" w14:textId="33990177" w:rsidR="003B39A4" w:rsidRPr="003B39A4" w:rsidRDefault="003B39A4" w:rsidP="003B39A4">
      <w:pPr>
        <w:pStyle w:val="Titre"/>
        <w:jc w:val="center"/>
      </w:pPr>
      <w:r>
        <w:t xml:space="preserve">Introduction à </w:t>
      </w:r>
      <w:r w:rsidR="000A38B5">
        <w:t>Power BI</w:t>
      </w:r>
      <w:r w:rsidR="001123B1">
        <w:t>/Tableau</w:t>
      </w:r>
    </w:p>
    <w:p w14:paraId="6AEFE622" w14:textId="77777777" w:rsidR="003B39A4" w:rsidRDefault="003B39A4" w:rsidP="003B39A4">
      <w:pPr>
        <w:pStyle w:val="Sansinterligne"/>
      </w:pPr>
    </w:p>
    <w:p w14:paraId="48CB3CD2" w14:textId="77777777" w:rsidR="003B39A4" w:rsidRDefault="003B39A4" w:rsidP="003B39A4">
      <w:pPr>
        <w:pStyle w:val="Sansinterligne"/>
      </w:pPr>
    </w:p>
    <w:p w14:paraId="0394DC6B" w14:textId="1C5017B3" w:rsidR="003B39A4" w:rsidRDefault="000A38B5" w:rsidP="003B39A4">
      <w:pPr>
        <w:jc w:val="center"/>
      </w:pPr>
      <w:r>
        <w:t>AKOTI</w:t>
      </w:r>
    </w:p>
    <w:p w14:paraId="2FC13E42" w14:textId="153140C2" w:rsidR="003B39A4" w:rsidRDefault="000A38B5" w:rsidP="003B39A4">
      <w:pPr>
        <w:jc w:val="center"/>
      </w:pPr>
      <w:r>
        <w:t>OTCHO STEVEN</w:t>
      </w:r>
    </w:p>
    <w:p w14:paraId="6A5734F5" w14:textId="77777777" w:rsidR="003B39A4" w:rsidRDefault="003B39A4" w:rsidP="003B39A4">
      <w:pPr>
        <w:pStyle w:val="Sansinterligne"/>
      </w:pPr>
    </w:p>
    <w:p w14:paraId="04EB82D1" w14:textId="77777777" w:rsidR="003B39A4" w:rsidRDefault="003B39A4" w:rsidP="003B39A4">
      <w:pPr>
        <w:pStyle w:val="Sansinterligne"/>
      </w:pPr>
    </w:p>
    <w:p w14:paraId="3A653EFE" w14:textId="77777777" w:rsidR="003B39A4" w:rsidRDefault="003B39A4" w:rsidP="003B39A4">
      <w:pPr>
        <w:pStyle w:val="Sansinterligne"/>
      </w:pPr>
    </w:p>
    <w:p w14:paraId="61B8C66F" w14:textId="77777777" w:rsidR="003B39A4" w:rsidRDefault="003B39A4" w:rsidP="003B39A4">
      <w:pPr>
        <w:pStyle w:val="Sansinterligne"/>
      </w:pPr>
    </w:p>
    <w:p w14:paraId="379FEED2" w14:textId="77777777" w:rsidR="003B39A4" w:rsidRDefault="003B39A4" w:rsidP="003B39A4">
      <w:pPr>
        <w:pStyle w:val="Sansinterligne"/>
      </w:pPr>
    </w:p>
    <w:p w14:paraId="5FC7A9D9" w14:textId="77777777" w:rsidR="003B39A4" w:rsidRDefault="003B39A4" w:rsidP="003B39A4">
      <w:pPr>
        <w:pStyle w:val="Sansinterligne"/>
      </w:pPr>
    </w:p>
    <w:p w14:paraId="6BE74F15" w14:textId="77777777" w:rsidR="003B39A4" w:rsidRDefault="003B39A4" w:rsidP="003B39A4">
      <w:pPr>
        <w:pStyle w:val="Sansinterlign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36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897A4" w14:textId="77777777" w:rsidR="003B39A4" w:rsidRDefault="003B39A4" w:rsidP="003B39A4">
          <w:pPr>
            <w:pStyle w:val="En-ttedetabledesmatires"/>
          </w:pPr>
          <w:r>
            <w:t>Table des matières</w:t>
          </w:r>
        </w:p>
        <w:p w14:paraId="4B0A9B31" w14:textId="55963744" w:rsidR="00134E1D" w:rsidRDefault="003B39A4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60632" w:history="1">
            <w:r w:rsidR="00134E1D" w:rsidRPr="00F40B46">
              <w:rPr>
                <w:rStyle w:val="Lienhypertexte"/>
                <w:noProof/>
              </w:rPr>
              <w:t>1.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Grille de lecture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_Toc161060632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2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70F07BB1" w14:textId="17B3DD4D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3" w:history="1">
            <w:r w:rsidR="00134E1D" w:rsidRPr="00F40B46">
              <w:rPr>
                <w:rStyle w:val="Lienhypertexte"/>
                <w:noProof/>
              </w:rPr>
              <w:t>2.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Dashboard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_Toc161060633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3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54C62DC9" w14:textId="1EE0FB45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4" w:history="1">
            <w:r w:rsidR="00134E1D" w:rsidRPr="00F40B46">
              <w:rPr>
                <w:rStyle w:val="Lienhypertexte"/>
                <w:noProof/>
              </w:rPr>
              <w:t>3.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Analyse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_Toc161060634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4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2BCF3BA0" w14:textId="51D754DB" w:rsidR="003B39A4" w:rsidRDefault="003B39A4" w:rsidP="003B39A4">
          <w:r>
            <w:rPr>
              <w:b/>
              <w:bCs/>
            </w:rPr>
            <w:fldChar w:fldCharType="end"/>
          </w:r>
        </w:p>
      </w:sdtContent>
    </w:sdt>
    <w:p w14:paraId="3426EE88" w14:textId="4A00BC7C" w:rsidR="003B39A4" w:rsidRDefault="003B39A4" w:rsidP="003B39A4">
      <w:pPr>
        <w:pStyle w:val="Sansinterligne"/>
        <w:sectPr w:rsidR="003B39A4" w:rsidSect="00AE0F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67A106" w14:textId="4BC85E5D" w:rsidR="00F06A53" w:rsidRDefault="00134E1D" w:rsidP="00134E1D">
      <w:pPr>
        <w:pStyle w:val="Titre1"/>
        <w:numPr>
          <w:ilvl w:val="0"/>
          <w:numId w:val="2"/>
        </w:numPr>
      </w:pPr>
      <w:bookmarkStart w:id="0" w:name="_Toc161060632"/>
      <w:r>
        <w:lastRenderedPageBreak/>
        <w:t>Grille de lecture</w:t>
      </w:r>
      <w:bookmarkEnd w:id="0"/>
    </w:p>
    <w:p w14:paraId="1A236464" w14:textId="77777777" w:rsidR="00F06A53" w:rsidRDefault="00F06A53" w:rsidP="00F06A53"/>
    <w:tbl>
      <w:tblPr>
        <w:tblStyle w:val="Tableausimple1"/>
        <w:tblW w:w="9482" w:type="dxa"/>
        <w:tblInd w:w="488" w:type="dxa"/>
        <w:tblLook w:val="04A0" w:firstRow="1" w:lastRow="0" w:firstColumn="1" w:lastColumn="0" w:noHBand="0" w:noVBand="1"/>
      </w:tblPr>
      <w:tblGrid>
        <w:gridCol w:w="4741"/>
        <w:gridCol w:w="4741"/>
      </w:tblGrid>
      <w:tr w:rsidR="000A38B5" w14:paraId="518CDFB0" w14:textId="77777777" w:rsidTr="000A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13EB757A" w14:textId="77777777" w:rsidR="000A38B5" w:rsidRDefault="000A38B5" w:rsidP="008D709F">
            <w:r>
              <w:t>Nom de la donnée</w:t>
            </w:r>
          </w:p>
        </w:tc>
        <w:tc>
          <w:tcPr>
            <w:tcW w:w="4741" w:type="dxa"/>
          </w:tcPr>
          <w:p w14:paraId="4B067394" w14:textId="77777777" w:rsidR="000A38B5" w:rsidRDefault="000A38B5" w:rsidP="008D7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 de la donnée</w:t>
            </w:r>
          </w:p>
        </w:tc>
      </w:tr>
      <w:tr w:rsidR="000A38B5" w14:paraId="6D0ECADB" w14:textId="77777777" w:rsidTr="000A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246E447F" w14:textId="77777777" w:rsidR="000A38B5" w:rsidRDefault="000A38B5" w:rsidP="008D709F">
            <w:r>
              <w:t>Segment</w:t>
            </w:r>
          </w:p>
        </w:tc>
        <w:tc>
          <w:tcPr>
            <w:tcW w:w="4741" w:type="dxa"/>
          </w:tcPr>
          <w:p w14:paraId="354682A5" w14:textId="77777777" w:rsidR="000A38B5" w:rsidRDefault="000A38B5" w:rsidP="008D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Entité qui réalise la vente</w:t>
            </w:r>
          </w:p>
        </w:tc>
      </w:tr>
      <w:tr w:rsidR="000A38B5" w14:paraId="0376288C" w14:textId="77777777" w:rsidTr="000A38B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6B89285F" w14:textId="77777777" w:rsidR="000A38B5" w:rsidRDefault="000A38B5" w:rsidP="008D709F">
            <w:r>
              <w:t>Country</w:t>
            </w:r>
          </w:p>
        </w:tc>
        <w:tc>
          <w:tcPr>
            <w:tcW w:w="4741" w:type="dxa"/>
          </w:tcPr>
          <w:p w14:paraId="07DEA53F" w14:textId="77777777" w:rsidR="000A38B5" w:rsidRDefault="000A38B5" w:rsidP="008D7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pays de l’entité</w:t>
            </w:r>
          </w:p>
        </w:tc>
      </w:tr>
      <w:tr w:rsidR="000A38B5" w14:paraId="6C238253" w14:textId="77777777" w:rsidTr="000A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66FE4159" w14:textId="77777777" w:rsidR="000A38B5" w:rsidRDefault="000A38B5" w:rsidP="008D709F">
            <w:r>
              <w:t>Product</w:t>
            </w:r>
          </w:p>
        </w:tc>
        <w:tc>
          <w:tcPr>
            <w:tcW w:w="4741" w:type="dxa"/>
          </w:tcPr>
          <w:p w14:paraId="431DDFE7" w14:textId="77777777" w:rsidR="000A38B5" w:rsidRDefault="000A38B5" w:rsidP="008D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produit vendu</w:t>
            </w:r>
          </w:p>
        </w:tc>
      </w:tr>
      <w:tr w:rsidR="000A38B5" w14:paraId="3DCAB5BD" w14:textId="77777777" w:rsidTr="000A38B5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294B8917" w14:textId="77777777" w:rsidR="000A38B5" w:rsidRDefault="000A38B5" w:rsidP="008D709F">
            <w:r>
              <w:t>Discount Band</w:t>
            </w:r>
          </w:p>
        </w:tc>
        <w:tc>
          <w:tcPr>
            <w:tcW w:w="4741" w:type="dxa"/>
          </w:tcPr>
          <w:p w14:paraId="51D6F03A" w14:textId="77777777" w:rsidR="000A38B5" w:rsidRDefault="000A38B5" w:rsidP="008D7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caractéristique de la réduction </w:t>
            </w:r>
          </w:p>
        </w:tc>
      </w:tr>
      <w:tr w:rsidR="000A38B5" w14:paraId="03A24C2A" w14:textId="77777777" w:rsidTr="000A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24AAF73E" w14:textId="77777777" w:rsidR="000A38B5" w:rsidRDefault="000A38B5" w:rsidP="008D709F">
            <w:r>
              <w:t>Units Sold</w:t>
            </w:r>
          </w:p>
        </w:tc>
        <w:tc>
          <w:tcPr>
            <w:tcW w:w="4741" w:type="dxa"/>
          </w:tcPr>
          <w:p w14:paraId="4DDBC85C" w14:textId="77777777" w:rsidR="000A38B5" w:rsidRDefault="000A38B5" w:rsidP="008D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d’unités vendues</w:t>
            </w:r>
          </w:p>
        </w:tc>
      </w:tr>
      <w:tr w:rsidR="000A38B5" w14:paraId="06F1CE59" w14:textId="77777777" w:rsidTr="000A38B5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04509977" w14:textId="77777777" w:rsidR="000A38B5" w:rsidRDefault="000A38B5" w:rsidP="008D709F">
            <w:r>
              <w:t>Manufacturing Price</w:t>
            </w:r>
          </w:p>
        </w:tc>
        <w:tc>
          <w:tcPr>
            <w:tcW w:w="4741" w:type="dxa"/>
          </w:tcPr>
          <w:p w14:paraId="231C122B" w14:textId="77777777" w:rsidR="000A38B5" w:rsidRDefault="000A38B5" w:rsidP="008D7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prix de fabrication</w:t>
            </w:r>
          </w:p>
        </w:tc>
      </w:tr>
      <w:tr w:rsidR="000A38B5" w14:paraId="269AD3A5" w14:textId="77777777" w:rsidTr="000A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0585CDD4" w14:textId="77777777" w:rsidR="000A38B5" w:rsidRDefault="000A38B5" w:rsidP="008D709F">
            <w:r>
              <w:t>Sale Price</w:t>
            </w:r>
          </w:p>
        </w:tc>
        <w:tc>
          <w:tcPr>
            <w:tcW w:w="4741" w:type="dxa"/>
          </w:tcPr>
          <w:p w14:paraId="7935F8E8" w14:textId="77777777" w:rsidR="000A38B5" w:rsidRDefault="000A38B5" w:rsidP="008D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prix unitaire</w:t>
            </w:r>
          </w:p>
        </w:tc>
      </w:tr>
      <w:tr w:rsidR="000A38B5" w14:paraId="06C1DBFD" w14:textId="77777777" w:rsidTr="000A38B5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1CB6220E" w14:textId="77777777" w:rsidR="000A38B5" w:rsidRDefault="000A38B5" w:rsidP="008D709F">
            <w:r>
              <w:t>Gross Sales</w:t>
            </w:r>
          </w:p>
        </w:tc>
        <w:tc>
          <w:tcPr>
            <w:tcW w:w="4741" w:type="dxa"/>
          </w:tcPr>
          <w:p w14:paraId="12454702" w14:textId="24BA6CAD" w:rsidR="000A38B5" w:rsidRDefault="000A38B5" w:rsidP="008D7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ventes brutes (</w:t>
            </w:r>
            <w:r w:rsidR="00A760EC">
              <w:t>Sale Price</w:t>
            </w:r>
            <w:r>
              <w:t xml:space="preserve"> * </w:t>
            </w:r>
            <w:r w:rsidR="00A760EC">
              <w:t>Units Sold</w:t>
            </w:r>
            <w:r>
              <w:t>)</w:t>
            </w:r>
          </w:p>
        </w:tc>
      </w:tr>
      <w:tr w:rsidR="000A38B5" w14:paraId="2D590109" w14:textId="77777777" w:rsidTr="000A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56213E98" w14:textId="77777777" w:rsidR="000A38B5" w:rsidRDefault="000A38B5" w:rsidP="008D709F">
            <w:r>
              <w:t>Discounts</w:t>
            </w:r>
          </w:p>
        </w:tc>
        <w:tc>
          <w:tcPr>
            <w:tcW w:w="4741" w:type="dxa"/>
          </w:tcPr>
          <w:p w14:paraId="546B2436" w14:textId="77777777" w:rsidR="000A38B5" w:rsidRDefault="000A38B5" w:rsidP="008D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Réduction sur les ventes brutes</w:t>
            </w:r>
          </w:p>
        </w:tc>
      </w:tr>
      <w:tr w:rsidR="000A38B5" w14:paraId="7E0642EB" w14:textId="77777777" w:rsidTr="000A38B5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4A8992CE" w14:textId="77777777" w:rsidR="000A38B5" w:rsidRDefault="000A38B5" w:rsidP="008D709F">
            <w:r>
              <w:t>Sales</w:t>
            </w:r>
          </w:p>
        </w:tc>
        <w:tc>
          <w:tcPr>
            <w:tcW w:w="4741" w:type="dxa"/>
          </w:tcPr>
          <w:p w14:paraId="1AD1CF31" w14:textId="77777777" w:rsidR="000A38B5" w:rsidRDefault="000A38B5" w:rsidP="008D7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de vente après réduction</w:t>
            </w:r>
          </w:p>
        </w:tc>
      </w:tr>
      <w:tr w:rsidR="000A38B5" w14:paraId="21F45790" w14:textId="77777777" w:rsidTr="000A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51423372" w14:textId="77777777" w:rsidR="000A38B5" w:rsidRDefault="000A38B5" w:rsidP="008D709F">
            <w:r>
              <w:t>COGS</w:t>
            </w:r>
          </w:p>
        </w:tc>
        <w:tc>
          <w:tcPr>
            <w:tcW w:w="4741" w:type="dxa"/>
          </w:tcPr>
          <w:p w14:paraId="73BC82D7" w14:textId="55046E55" w:rsidR="000A38B5" w:rsidRDefault="000A38B5" w:rsidP="008D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Coût des produits vendus</w:t>
            </w:r>
          </w:p>
        </w:tc>
      </w:tr>
      <w:tr w:rsidR="000A38B5" w14:paraId="277F2A8A" w14:textId="77777777" w:rsidTr="000A38B5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35CFE0B1" w14:textId="77777777" w:rsidR="000A38B5" w:rsidRDefault="000A38B5" w:rsidP="008D709F">
            <w:r>
              <w:t>Profit</w:t>
            </w:r>
          </w:p>
        </w:tc>
        <w:tc>
          <w:tcPr>
            <w:tcW w:w="4741" w:type="dxa"/>
          </w:tcPr>
          <w:p w14:paraId="02EBB4AE" w14:textId="77777777" w:rsidR="000A38B5" w:rsidRDefault="000A38B5" w:rsidP="008D7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profit réalisé (Sales – COGS)</w:t>
            </w:r>
          </w:p>
        </w:tc>
      </w:tr>
      <w:tr w:rsidR="000A38B5" w14:paraId="60EC68ED" w14:textId="77777777" w:rsidTr="000A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548FB3DF" w14:textId="77777777" w:rsidR="000A38B5" w:rsidRDefault="000A38B5" w:rsidP="008D709F">
            <w:r>
              <w:t>Date</w:t>
            </w:r>
          </w:p>
        </w:tc>
        <w:tc>
          <w:tcPr>
            <w:tcW w:w="4741" w:type="dxa"/>
          </w:tcPr>
          <w:p w14:paraId="27F44449" w14:textId="77777777" w:rsidR="000A38B5" w:rsidRDefault="000A38B5" w:rsidP="008D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complète</w:t>
            </w:r>
          </w:p>
        </w:tc>
      </w:tr>
      <w:tr w:rsidR="000A38B5" w14:paraId="4415F968" w14:textId="77777777" w:rsidTr="000A38B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68824614" w14:textId="77777777" w:rsidR="000A38B5" w:rsidRDefault="000A38B5" w:rsidP="008D709F">
            <w:r>
              <w:t>Month Number</w:t>
            </w:r>
          </w:p>
        </w:tc>
        <w:tc>
          <w:tcPr>
            <w:tcW w:w="4741" w:type="dxa"/>
          </w:tcPr>
          <w:p w14:paraId="68C76260" w14:textId="77777777" w:rsidR="000A38B5" w:rsidRDefault="000A38B5" w:rsidP="008D7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du mois</w:t>
            </w:r>
          </w:p>
        </w:tc>
      </w:tr>
      <w:tr w:rsidR="000A38B5" w14:paraId="3E33730E" w14:textId="77777777" w:rsidTr="000A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1A0DE047" w14:textId="77777777" w:rsidR="000A38B5" w:rsidRDefault="000A38B5" w:rsidP="008D709F">
            <w:r>
              <w:t>Month Name</w:t>
            </w:r>
          </w:p>
        </w:tc>
        <w:tc>
          <w:tcPr>
            <w:tcW w:w="4741" w:type="dxa"/>
          </w:tcPr>
          <w:p w14:paraId="2161C0F0" w14:textId="77777777" w:rsidR="000A38B5" w:rsidRDefault="000A38B5" w:rsidP="008D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mois</w:t>
            </w:r>
          </w:p>
        </w:tc>
      </w:tr>
      <w:tr w:rsidR="000A38B5" w14:paraId="0C0437A2" w14:textId="77777777" w:rsidTr="000A38B5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56D1BEF2" w14:textId="77777777" w:rsidR="000A38B5" w:rsidRDefault="000A38B5" w:rsidP="008D709F">
            <w:r>
              <w:t>Year</w:t>
            </w:r>
          </w:p>
        </w:tc>
        <w:tc>
          <w:tcPr>
            <w:tcW w:w="4741" w:type="dxa"/>
          </w:tcPr>
          <w:p w14:paraId="4797221B" w14:textId="77777777" w:rsidR="000A38B5" w:rsidRDefault="000A38B5" w:rsidP="008D7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L’année</w:t>
            </w:r>
          </w:p>
        </w:tc>
      </w:tr>
    </w:tbl>
    <w:p w14:paraId="443B2AE8" w14:textId="77777777" w:rsidR="00F06A53" w:rsidRPr="00F06A53" w:rsidRDefault="00F06A53" w:rsidP="00F06A53">
      <w:pPr>
        <w:sectPr w:rsidR="00F06A53" w:rsidRPr="00F06A53" w:rsidSect="00AE0F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234869" w14:textId="182A3D94" w:rsidR="003B39A4" w:rsidRDefault="003B39A4" w:rsidP="003B39A4">
      <w:pPr>
        <w:pStyle w:val="Titre1"/>
        <w:numPr>
          <w:ilvl w:val="0"/>
          <w:numId w:val="2"/>
        </w:numPr>
      </w:pPr>
      <w:bookmarkStart w:id="1" w:name="_Toc161060633"/>
      <w:r>
        <w:lastRenderedPageBreak/>
        <w:t>Dashboard</w:t>
      </w:r>
      <w:bookmarkEnd w:id="1"/>
    </w:p>
    <w:p w14:paraId="0292BB35" w14:textId="43677602" w:rsidR="000A38B5" w:rsidRDefault="000A38B5" w:rsidP="003B39A4"/>
    <w:p w14:paraId="58065967" w14:textId="7E2BB08C" w:rsidR="000A38B5" w:rsidRDefault="000A38B5" w:rsidP="003B39A4">
      <w:r w:rsidRPr="000A38B5">
        <w:rPr>
          <w:noProof/>
        </w:rPr>
        <w:drawing>
          <wp:inline distT="0" distB="0" distL="0" distR="0" wp14:anchorId="6D20F21A" wp14:editId="23208085">
            <wp:extent cx="9777730" cy="5676900"/>
            <wp:effectExtent l="0" t="0" r="0" b="0"/>
            <wp:docPr id="1315024997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24997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9988" w14:textId="77777777" w:rsidR="000A38B5" w:rsidRDefault="000A38B5" w:rsidP="003B39A4">
      <w:pPr>
        <w:sectPr w:rsidR="000A38B5" w:rsidSect="00AE0FAD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AE3813" w14:textId="71FDE429" w:rsidR="003B39A4" w:rsidRDefault="003B39A4" w:rsidP="00134E1D">
      <w:pPr>
        <w:pStyle w:val="Titre1"/>
        <w:numPr>
          <w:ilvl w:val="0"/>
          <w:numId w:val="2"/>
        </w:numPr>
      </w:pPr>
      <w:bookmarkStart w:id="2" w:name="_Toc161060634"/>
      <w:r>
        <w:lastRenderedPageBreak/>
        <w:t>Analyse</w:t>
      </w:r>
      <w:bookmarkEnd w:id="2"/>
    </w:p>
    <w:p w14:paraId="5D03D1DF" w14:textId="77777777" w:rsidR="003B39A4" w:rsidRDefault="003B39A4" w:rsidP="003B39A4"/>
    <w:p w14:paraId="22FE373F" w14:textId="763B36A2" w:rsidR="003B39A4" w:rsidRPr="00690825" w:rsidRDefault="003B39A4" w:rsidP="0069082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90825">
        <w:rPr>
          <w:rFonts w:ascii="Arial" w:hAnsi="Arial" w:cs="Arial"/>
          <w:sz w:val="24"/>
          <w:szCs w:val="24"/>
        </w:rPr>
        <w:t xml:space="preserve">// </w:t>
      </w:r>
      <w:r w:rsidRPr="00690825">
        <w:rPr>
          <w:rFonts w:ascii="Arial" w:hAnsi="Arial" w:cs="Arial"/>
          <w:sz w:val="24"/>
          <w:szCs w:val="24"/>
          <w:u w:val="single"/>
        </w:rPr>
        <w:t>Faire une analyse globale du dashboard</w:t>
      </w:r>
    </w:p>
    <w:p w14:paraId="1838E558" w14:textId="07651CEE" w:rsidR="00AE07BB" w:rsidRDefault="000A38B5" w:rsidP="006908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25">
        <w:rPr>
          <w:rFonts w:ascii="Arial" w:hAnsi="Arial" w:cs="Arial"/>
          <w:sz w:val="24"/>
          <w:szCs w:val="24"/>
        </w:rPr>
        <w:t xml:space="preserve">Le dashboard nous montre que globalement, les profits </w:t>
      </w:r>
      <w:r w:rsidR="00A760EC">
        <w:rPr>
          <w:rFonts w:ascii="Arial" w:hAnsi="Arial" w:cs="Arial"/>
          <w:sz w:val="24"/>
          <w:szCs w:val="24"/>
        </w:rPr>
        <w:t xml:space="preserve">réalisés </w:t>
      </w:r>
      <w:r w:rsidRPr="00690825">
        <w:rPr>
          <w:rFonts w:ascii="Arial" w:hAnsi="Arial" w:cs="Arial"/>
          <w:sz w:val="24"/>
          <w:szCs w:val="24"/>
        </w:rPr>
        <w:t xml:space="preserve">sont proportionnels aux ventes pour les différents produits et </w:t>
      </w:r>
      <w:r w:rsidR="00AE07BB" w:rsidRPr="00690825">
        <w:rPr>
          <w:rFonts w:ascii="Arial" w:hAnsi="Arial" w:cs="Arial"/>
          <w:sz w:val="24"/>
          <w:szCs w:val="24"/>
        </w:rPr>
        <w:t>pour</w:t>
      </w:r>
      <w:r w:rsidRPr="00690825">
        <w:rPr>
          <w:rFonts w:ascii="Arial" w:hAnsi="Arial" w:cs="Arial"/>
          <w:sz w:val="24"/>
          <w:szCs w:val="24"/>
        </w:rPr>
        <w:t xml:space="preserve"> les différentes entités qui les vendent.</w:t>
      </w:r>
    </w:p>
    <w:p w14:paraId="7F04ABDC" w14:textId="77777777" w:rsidR="00A760EC" w:rsidRPr="00690825" w:rsidRDefault="00A760EC" w:rsidP="006908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06CC7D" w14:textId="02002A25" w:rsidR="003B39A4" w:rsidRPr="00690825" w:rsidRDefault="003B39A4" w:rsidP="006908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25">
        <w:rPr>
          <w:rFonts w:ascii="Arial" w:hAnsi="Arial" w:cs="Arial"/>
          <w:sz w:val="24"/>
          <w:szCs w:val="24"/>
        </w:rPr>
        <w:t xml:space="preserve">// </w:t>
      </w:r>
      <w:r w:rsidRPr="00690825">
        <w:rPr>
          <w:rFonts w:ascii="Arial" w:hAnsi="Arial" w:cs="Arial"/>
          <w:sz w:val="24"/>
          <w:szCs w:val="24"/>
          <w:u w:val="single"/>
        </w:rPr>
        <w:t>Quels sont les faits observés</w:t>
      </w:r>
      <w:r w:rsidRPr="0078725D">
        <w:rPr>
          <w:rFonts w:ascii="Arial" w:hAnsi="Arial" w:cs="Arial"/>
          <w:sz w:val="24"/>
          <w:szCs w:val="24"/>
        </w:rPr>
        <w:t> ?</w:t>
      </w:r>
    </w:p>
    <w:p w14:paraId="54DA4E6C" w14:textId="0BECCB44" w:rsidR="00AE07BB" w:rsidRPr="005A4FC8" w:rsidRDefault="00AE07BB" w:rsidP="005A4FC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4FC8">
        <w:rPr>
          <w:rFonts w:ascii="Arial" w:hAnsi="Arial" w:cs="Arial"/>
          <w:sz w:val="24"/>
          <w:szCs w:val="24"/>
        </w:rPr>
        <w:t>Au niveau des profits réalisés par rapport aux ventes des produits, on constate le même ordre</w:t>
      </w:r>
      <w:r w:rsidR="005A4FC8" w:rsidRPr="005A4FC8">
        <w:rPr>
          <w:rFonts w:ascii="Arial" w:hAnsi="Arial" w:cs="Arial"/>
          <w:sz w:val="24"/>
          <w:szCs w:val="24"/>
        </w:rPr>
        <w:t xml:space="preserve"> au niveau des ventes comme des profits</w:t>
      </w:r>
      <w:r w:rsidRPr="005A4FC8">
        <w:rPr>
          <w:rFonts w:ascii="Arial" w:hAnsi="Arial" w:cs="Arial"/>
          <w:sz w:val="24"/>
          <w:szCs w:val="24"/>
        </w:rPr>
        <w:t>. Mais il y a une différence au niveau du vélo et de l’amarilla où la vente de vélo est supérieure à celle de l’amarilla tandis que l’amarilla rapporte plus de profit que le vélo.</w:t>
      </w:r>
    </w:p>
    <w:p w14:paraId="2BBB61CF" w14:textId="0EA59260" w:rsidR="00AE07BB" w:rsidRPr="005A4FC8" w:rsidRDefault="005A4FC8" w:rsidP="005A4FC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4FC8">
        <w:rPr>
          <w:rFonts w:ascii="Arial" w:hAnsi="Arial" w:cs="Arial"/>
          <w:sz w:val="24"/>
          <w:szCs w:val="24"/>
        </w:rPr>
        <w:t>En ce qui concerne</w:t>
      </w:r>
      <w:r w:rsidR="00AE07BB" w:rsidRPr="005A4FC8">
        <w:rPr>
          <w:rFonts w:ascii="Arial" w:hAnsi="Arial" w:cs="Arial"/>
          <w:sz w:val="24"/>
          <w:szCs w:val="24"/>
        </w:rPr>
        <w:t xml:space="preserve"> les profits réalisés par rapport aux ventes dans les différentes entités, </w:t>
      </w:r>
      <w:r w:rsidR="0078725D" w:rsidRPr="005A4FC8">
        <w:rPr>
          <w:rFonts w:ascii="Arial" w:hAnsi="Arial" w:cs="Arial"/>
          <w:sz w:val="24"/>
          <w:szCs w:val="24"/>
        </w:rPr>
        <w:t xml:space="preserve">on constate que Government et Small Business vendent le plus et font le plus de profit. </w:t>
      </w:r>
      <w:r w:rsidRPr="005A4FC8">
        <w:rPr>
          <w:rFonts w:ascii="Arial" w:hAnsi="Arial" w:cs="Arial"/>
          <w:sz w:val="24"/>
          <w:szCs w:val="24"/>
        </w:rPr>
        <w:t>En revanche</w:t>
      </w:r>
      <w:r w:rsidR="0078725D" w:rsidRPr="005A4FC8">
        <w:rPr>
          <w:rFonts w:ascii="Arial" w:hAnsi="Arial" w:cs="Arial"/>
          <w:sz w:val="24"/>
          <w:szCs w:val="24"/>
        </w:rPr>
        <w:t xml:space="preserve"> </w:t>
      </w:r>
      <w:r w:rsidRPr="005A4FC8">
        <w:rPr>
          <w:rFonts w:ascii="Arial" w:hAnsi="Arial" w:cs="Arial"/>
          <w:sz w:val="24"/>
          <w:szCs w:val="24"/>
        </w:rPr>
        <w:t>Enterprise</w:t>
      </w:r>
      <w:r w:rsidR="0078725D" w:rsidRPr="005A4FC8">
        <w:rPr>
          <w:rFonts w:ascii="Arial" w:hAnsi="Arial" w:cs="Arial"/>
          <w:sz w:val="24"/>
          <w:szCs w:val="24"/>
        </w:rPr>
        <w:t xml:space="preserve"> qui suit juste après en termes de ventes, ne fait aucun profit contrairement</w:t>
      </w:r>
      <w:r w:rsidRPr="005A4FC8">
        <w:rPr>
          <w:rFonts w:ascii="Arial" w:hAnsi="Arial" w:cs="Arial"/>
          <w:sz w:val="24"/>
          <w:szCs w:val="24"/>
        </w:rPr>
        <w:t xml:space="preserve"> à Midmarket et Channel Partners qui vendent très peu mais qui font proportionnellement assez de profit.</w:t>
      </w:r>
    </w:p>
    <w:p w14:paraId="19A8AF50" w14:textId="77777777" w:rsidR="0078725D" w:rsidRPr="00690825" w:rsidRDefault="0078725D" w:rsidP="006908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79EEB1" w14:textId="6172A20A" w:rsidR="003B39A4" w:rsidRDefault="003B39A4" w:rsidP="006908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25">
        <w:rPr>
          <w:rFonts w:ascii="Arial" w:hAnsi="Arial" w:cs="Arial"/>
          <w:sz w:val="24"/>
          <w:szCs w:val="24"/>
        </w:rPr>
        <w:t xml:space="preserve">// </w:t>
      </w:r>
      <w:r w:rsidRPr="0078725D">
        <w:rPr>
          <w:rFonts w:ascii="Arial" w:hAnsi="Arial" w:cs="Arial"/>
          <w:sz w:val="24"/>
          <w:szCs w:val="24"/>
          <w:u w:val="single"/>
        </w:rPr>
        <w:t>Quelles sont les bonnes stratégies à prendre</w:t>
      </w:r>
      <w:r w:rsidRPr="00690825">
        <w:rPr>
          <w:rFonts w:ascii="Arial" w:hAnsi="Arial" w:cs="Arial"/>
          <w:sz w:val="24"/>
          <w:szCs w:val="24"/>
        </w:rPr>
        <w:t> ?</w:t>
      </w:r>
    </w:p>
    <w:p w14:paraId="46FD55FC" w14:textId="4ED8561C" w:rsidR="005A4FC8" w:rsidRDefault="005A4FC8" w:rsidP="005A4FC8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les produits, il </w:t>
      </w:r>
      <w:r w:rsidR="00855A9B">
        <w:rPr>
          <w:rFonts w:ascii="Arial" w:hAnsi="Arial" w:cs="Arial"/>
          <w:sz w:val="24"/>
          <w:szCs w:val="24"/>
        </w:rPr>
        <w:t>faut privilégier la vente de l’amarilla par rapport à celle du vélo.</w:t>
      </w:r>
    </w:p>
    <w:p w14:paraId="4105ABA3" w14:textId="5C6C5ACB" w:rsidR="00855A9B" w:rsidRPr="005A4FC8" w:rsidRDefault="00855A9B" w:rsidP="005A4FC8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 niveau des entités, il faut réduire considérablement voire annuler les ventes pour Enterprise et augmenter celles de Midmarket et Channel Partners.</w:t>
      </w:r>
    </w:p>
    <w:p w14:paraId="1417EFC5" w14:textId="77777777" w:rsidR="0078725D" w:rsidRPr="00690825" w:rsidRDefault="0078725D" w:rsidP="006908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B8BCA" w14:textId="3FB5968D" w:rsidR="003B39A4" w:rsidRDefault="003B39A4" w:rsidP="00855A9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55A9B">
        <w:rPr>
          <w:rFonts w:ascii="Arial" w:hAnsi="Arial" w:cs="Arial"/>
          <w:sz w:val="24"/>
          <w:szCs w:val="24"/>
        </w:rPr>
        <w:t xml:space="preserve">// </w:t>
      </w:r>
      <w:r w:rsidRPr="00855A9B">
        <w:rPr>
          <w:rFonts w:ascii="Arial" w:hAnsi="Arial" w:cs="Arial"/>
          <w:sz w:val="24"/>
          <w:szCs w:val="24"/>
          <w:u w:val="single"/>
        </w:rPr>
        <w:t xml:space="preserve">Faire un résumé synthétique de chaque graphique / </w:t>
      </w:r>
      <w:r w:rsidR="00B6636C" w:rsidRPr="00855A9B">
        <w:rPr>
          <w:rFonts w:ascii="Arial" w:hAnsi="Arial" w:cs="Arial"/>
          <w:sz w:val="24"/>
          <w:szCs w:val="24"/>
          <w:u w:val="single"/>
        </w:rPr>
        <w:t>représentation</w:t>
      </w:r>
    </w:p>
    <w:p w14:paraId="0415FF2E" w14:textId="0A03484F" w:rsidR="00855A9B" w:rsidRPr="00855A9B" w:rsidRDefault="00855A9B" w:rsidP="00855A9B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Pour </w:t>
      </w:r>
      <w:r w:rsidRPr="00855A9B">
        <w:rPr>
          <w:rFonts w:ascii="Arial" w:hAnsi="Arial" w:cs="Arial"/>
          <w:b/>
          <w:bCs/>
          <w:i/>
          <w:iCs/>
          <w:sz w:val="24"/>
          <w:szCs w:val="24"/>
        </w:rPr>
        <w:t>Somme de Sales par Product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Paseo est largement le produit le plus vendu, puis suivent VTT, Vélo, Amarilla, Montana et Carretera.</w:t>
      </w:r>
    </w:p>
    <w:p w14:paraId="5726D292" w14:textId="3AF9BF96" w:rsidR="00855A9B" w:rsidRPr="00855A9B" w:rsidRDefault="00855A9B" w:rsidP="00855A9B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Pour </w:t>
      </w:r>
      <w:r w:rsidRPr="00855A9B">
        <w:rPr>
          <w:rFonts w:ascii="Arial" w:hAnsi="Arial" w:cs="Arial"/>
          <w:b/>
          <w:bCs/>
          <w:i/>
          <w:iCs/>
          <w:sz w:val="24"/>
          <w:szCs w:val="24"/>
        </w:rPr>
        <w:t xml:space="preserve">Somme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Profit</w:t>
      </w:r>
      <w:r w:rsidRPr="00855A9B">
        <w:rPr>
          <w:rFonts w:ascii="Arial" w:hAnsi="Arial" w:cs="Arial"/>
          <w:b/>
          <w:bCs/>
          <w:i/>
          <w:iCs/>
          <w:sz w:val="24"/>
          <w:szCs w:val="24"/>
        </w:rPr>
        <w:t xml:space="preserve"> par Product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Paseo rapporte le plus de profit devant VTT, Amarilla, Velo, Montana et Carretera.</w:t>
      </w:r>
    </w:p>
    <w:p w14:paraId="683BB5A2" w14:textId="6D345550" w:rsidR="00855A9B" w:rsidRPr="000C2D91" w:rsidRDefault="00855A9B" w:rsidP="00855A9B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Le graphique </w:t>
      </w:r>
      <w:r w:rsidRPr="00855A9B">
        <w:rPr>
          <w:rFonts w:ascii="Arial" w:hAnsi="Arial" w:cs="Arial"/>
          <w:b/>
          <w:bCs/>
          <w:i/>
          <w:iCs/>
          <w:sz w:val="24"/>
          <w:szCs w:val="24"/>
        </w:rPr>
        <w:t xml:space="preserve">Somme de Sales par </w:t>
      </w:r>
      <w:r>
        <w:rPr>
          <w:rFonts w:ascii="Arial" w:hAnsi="Arial" w:cs="Arial"/>
          <w:b/>
          <w:bCs/>
          <w:i/>
          <w:iCs/>
          <w:sz w:val="24"/>
          <w:szCs w:val="24"/>
        </w:rPr>
        <w:t>Segment</w:t>
      </w:r>
      <w:r>
        <w:rPr>
          <w:rFonts w:ascii="Arial" w:hAnsi="Arial" w:cs="Arial"/>
          <w:sz w:val="24"/>
          <w:szCs w:val="24"/>
        </w:rPr>
        <w:t xml:space="preserve"> </w:t>
      </w:r>
      <w:r w:rsidR="000C2D91">
        <w:rPr>
          <w:rFonts w:ascii="Arial" w:hAnsi="Arial" w:cs="Arial"/>
          <w:sz w:val="24"/>
          <w:szCs w:val="24"/>
        </w:rPr>
        <w:t>distingue Government et Small Business comme les entités vendant largement le plus, puis vient Enterprise</w:t>
      </w:r>
      <w:r w:rsidR="00A760EC">
        <w:rPr>
          <w:rFonts w:ascii="Arial" w:hAnsi="Arial" w:cs="Arial"/>
          <w:sz w:val="24"/>
          <w:szCs w:val="24"/>
        </w:rPr>
        <w:t xml:space="preserve"> qui vend moitié moins et enfin </w:t>
      </w:r>
      <w:r w:rsidR="000C2D91">
        <w:rPr>
          <w:rFonts w:ascii="Arial" w:hAnsi="Arial" w:cs="Arial"/>
          <w:sz w:val="24"/>
          <w:szCs w:val="24"/>
        </w:rPr>
        <w:t>Midmarket et Channel Partners bien en dessous.</w:t>
      </w:r>
    </w:p>
    <w:p w14:paraId="1E5887BD" w14:textId="6802388C" w:rsidR="00855A9B" w:rsidRPr="000C2D91" w:rsidRDefault="000C2D91" w:rsidP="00690825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Pour </w:t>
      </w:r>
      <w:r w:rsidRPr="00855A9B">
        <w:rPr>
          <w:rFonts w:ascii="Arial" w:hAnsi="Arial" w:cs="Arial"/>
          <w:b/>
          <w:bCs/>
          <w:i/>
          <w:iCs/>
          <w:sz w:val="24"/>
          <w:szCs w:val="24"/>
        </w:rPr>
        <w:t xml:space="preserve">Somme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Profit</w:t>
      </w:r>
      <w:r w:rsidRPr="00855A9B">
        <w:rPr>
          <w:rFonts w:ascii="Arial" w:hAnsi="Arial" w:cs="Arial"/>
          <w:b/>
          <w:bCs/>
          <w:i/>
          <w:iCs/>
          <w:sz w:val="24"/>
          <w:szCs w:val="24"/>
        </w:rPr>
        <w:t xml:space="preserve"> par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Segment, </w:t>
      </w:r>
      <w:r>
        <w:rPr>
          <w:rFonts w:ascii="Arial" w:hAnsi="Arial" w:cs="Arial"/>
          <w:sz w:val="24"/>
          <w:szCs w:val="24"/>
        </w:rPr>
        <w:t>Governement fait largement le plus de profit, puis on a Small Business ; Channel Partners et Midmarkets sont en retrait et Enterprise n’en fait aucun.</w:t>
      </w:r>
    </w:p>
    <w:sectPr w:rsidR="00855A9B" w:rsidRPr="000C2D91" w:rsidSect="00AE0F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DFE"/>
    <w:multiLevelType w:val="hybridMultilevel"/>
    <w:tmpl w:val="A56CC764"/>
    <w:lvl w:ilvl="0" w:tplc="040C000D">
      <w:start w:val="1"/>
      <w:numFmt w:val="bullet"/>
      <w:lvlText w:val=""/>
      <w:lvlJc w:val="left"/>
      <w:pPr>
        <w:ind w:left="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073366B7"/>
    <w:multiLevelType w:val="hybridMultilevel"/>
    <w:tmpl w:val="B360FC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B72C9"/>
    <w:multiLevelType w:val="hybridMultilevel"/>
    <w:tmpl w:val="C784BD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055AC"/>
    <w:multiLevelType w:val="hybridMultilevel"/>
    <w:tmpl w:val="AE0EB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436F0"/>
    <w:multiLevelType w:val="hybridMultilevel"/>
    <w:tmpl w:val="E146F588"/>
    <w:lvl w:ilvl="0" w:tplc="CCA6B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F499D"/>
    <w:multiLevelType w:val="hybridMultilevel"/>
    <w:tmpl w:val="E6304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1140">
    <w:abstractNumId w:val="3"/>
  </w:num>
  <w:num w:numId="2" w16cid:durableId="615412467">
    <w:abstractNumId w:val="4"/>
  </w:num>
  <w:num w:numId="3" w16cid:durableId="581260802">
    <w:abstractNumId w:val="5"/>
  </w:num>
  <w:num w:numId="4" w16cid:durableId="53549907">
    <w:abstractNumId w:val="0"/>
  </w:num>
  <w:num w:numId="5" w16cid:durableId="35009302">
    <w:abstractNumId w:val="1"/>
  </w:num>
  <w:num w:numId="6" w16cid:durableId="699745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4"/>
    <w:rsid w:val="000A38B5"/>
    <w:rsid w:val="000C2D91"/>
    <w:rsid w:val="001123B1"/>
    <w:rsid w:val="00134E1D"/>
    <w:rsid w:val="002E7972"/>
    <w:rsid w:val="003B39A4"/>
    <w:rsid w:val="003D42E6"/>
    <w:rsid w:val="005A4FC8"/>
    <w:rsid w:val="00690825"/>
    <w:rsid w:val="006B3547"/>
    <w:rsid w:val="006B3CAC"/>
    <w:rsid w:val="0078725D"/>
    <w:rsid w:val="008220FD"/>
    <w:rsid w:val="00855A9B"/>
    <w:rsid w:val="00940042"/>
    <w:rsid w:val="00A760EC"/>
    <w:rsid w:val="00AE07BB"/>
    <w:rsid w:val="00AE0FAD"/>
    <w:rsid w:val="00B6636C"/>
    <w:rsid w:val="00C35593"/>
    <w:rsid w:val="00CC31E9"/>
    <w:rsid w:val="00E5607C"/>
    <w:rsid w:val="00F0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F72C"/>
  <w15:chartTrackingRefBased/>
  <w15:docId w15:val="{354D8DC5-CB54-4EC4-8987-9D5DDC2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A4"/>
  </w:style>
  <w:style w:type="paragraph" w:styleId="Titre1">
    <w:name w:val="heading 1"/>
    <w:basedOn w:val="Normal"/>
    <w:next w:val="Normal"/>
    <w:link w:val="Titre1Car"/>
    <w:uiPriority w:val="9"/>
    <w:qFormat/>
    <w:rsid w:val="003B3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B39A4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B39A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B39A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9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B3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simple1">
    <w:name w:val="Plain Table 1"/>
    <w:basedOn w:val="TableauNormal"/>
    <w:uiPriority w:val="41"/>
    <w:rsid w:val="000A38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5A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396E-646E-4D35-99A8-2BFDDED3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Otcho Steven AKOTI</cp:lastModifiedBy>
  <cp:revision>11</cp:revision>
  <dcterms:created xsi:type="dcterms:W3CDTF">2024-03-11T13:35:00Z</dcterms:created>
  <dcterms:modified xsi:type="dcterms:W3CDTF">2024-03-12T01:56:00Z</dcterms:modified>
</cp:coreProperties>
</file>