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color w:val="1a365d"/>
        </w:rPr>
      </w:pPr>
      <w:r w:rsidDel="00000000" w:rsidR="00000000" w:rsidRPr="00000000">
        <w:rPr>
          <w:rFonts w:ascii="Arial" w:cs="Arial" w:eastAsia="Arial" w:hAnsi="Arial"/>
          <w:color w:val="1a365d"/>
          <w:rtl w:val="0"/>
        </w:rPr>
        <w:t xml:space="preserve">ERP Requirement Specification (Technical Master Copy)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Project Name:</w:t>
      </w:r>
      <w:r w:rsidDel="00000000" w:rsidR="00000000" w:rsidRPr="00000000">
        <w:rPr>
          <w:rFonts w:ascii="Arial" w:cs="Arial" w:eastAsia="Arial" w:hAnsi="Arial"/>
          <w:rtl w:val="0"/>
        </w:rPr>
        <w:t xml:space="preserve"> Centralized Enterprise Resource Planning (ERP) System for Buymore (Thailand) Co., Ltd.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jc w:val="center"/>
        <w:rPr>
          <w:rFonts w:ascii="Arial" w:cs="Arial" w:eastAsia="Arial" w:hAnsi="Arial"/>
        </w:rPr>
      </w:pPr>
      <w:r w:rsidDel="00000000" w:rsidR="00000000" w:rsidRPr="00000000">
        <w:rPr>
          <w:rFonts w:ascii="Arial" w:cs="Arial" w:eastAsia="Arial" w:hAnsi="Arial"/>
          <w:b w:val="1"/>
          <w:bCs w:val="1"/>
          <w:rtl w:val="0"/>
        </w:rPr>
        <w:t xml:space="preserve">Version:</w:t>
      </w:r>
      <w:r w:rsidDel="00000000" w:rsidR="00000000" w:rsidRPr="00000000">
        <w:rPr>
          <w:rFonts w:ascii="Arial" w:cs="Arial" w:eastAsia="Arial" w:hAnsi="Arial"/>
          <w:rtl w:val="0"/>
        </w:rPr>
        <w:t xml:space="preserve"> 2.0 (Full Technical English Version for Flowchart &amp; Architecture Design)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300" w:lineRule="auto"/>
        <w:jc w:val="center"/>
        <w:rPr>
          <w:rFonts w:ascii="Arial" w:cs="Arial" w:eastAsia="Arial" w:hAnsi="Arial"/>
        </w:rPr>
      </w:pPr>
      <w:r w:rsidDel="00000000" w:rsidR="00000000" w:rsidRPr="00000000">
        <w:rPr>
          <w:rFonts w:ascii="Arial" w:cs="Arial" w:eastAsia="Arial" w:hAnsi="Arial"/>
          <w:b w:val="1"/>
          <w:bCs w:val="1"/>
          <w:rtl w:val="0"/>
        </w:rPr>
        <w:t xml:space="preserve">Document Status:</w:t>
      </w:r>
      <w:r w:rsidDel="00000000" w:rsidR="00000000" w:rsidRPr="00000000">
        <w:rPr>
          <w:rFonts w:ascii="Arial" w:cs="Arial" w:eastAsia="Arial" w:hAnsi="Arial"/>
          <w:rtl w:val="0"/>
        </w:rPr>
        <w:t xml:space="preserve"> Ready for AI Flowchart Generation &amp; System Design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System Architecture &amp; Corporate Structure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The entire ERP ecosystem must be deployed within a Single Database Environment. The ultimate parent legal entity is Buymore (Thailand) Co., Ltd., which governs all financial ledger structures, inventory assets, and user permissions. However, the system architecture must strictly isolate operations based on independent Business Units (BUs) using the following technical constraints: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Multi-BU Isolation Model:</w:t>
      </w:r>
      <w:r w:rsidDel="00000000" w:rsidR="00000000" w:rsidRPr="00000000">
        <w:rPr>
          <w:rFonts w:ascii="Arial" w:cs="Arial" w:eastAsia="Arial" w:hAnsi="Arial"/>
          <w:rtl w:val="0"/>
        </w:rPr>
        <w:t xml:space="preserve"> The system must enforce absolute logical data separation for frontend user permissions, transactional workflows, documentation series, and pricing profiles between the business channels: TRD Bakermart (Retail/Front-store Wholesale) and Akra Wholesale (Back-end Wholesale/B2B Logistics).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Unified Master Data Layer:</w:t>
      </w:r>
      <w:r w:rsidDel="00000000" w:rsidR="00000000" w:rsidRPr="00000000">
        <w:rPr>
          <w:rFonts w:ascii="Arial" w:cs="Arial" w:eastAsia="Arial" w:hAnsi="Arial"/>
          <w:rtl w:val="0"/>
        </w:rPr>
        <w:t xml:space="preserve"> To ensure high data integrity, global master tables—specifically Master SKUs, Supplier Master Records, Customer Identity Records, and the General Ledger (GL) Chart of Accounts—must be shared globally. No duplicate master items are allowed.</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Cross-BU Financial Consolidation:</w:t>
      </w:r>
      <w:r w:rsidDel="00000000" w:rsidR="00000000" w:rsidRPr="00000000">
        <w:rPr>
          <w:rFonts w:ascii="Arial" w:cs="Arial" w:eastAsia="Arial" w:hAnsi="Arial"/>
          <w:rtl w:val="0"/>
        </w:rPr>
        <w:t xml:space="preserve"> All journal entries generated by procurement, stock manipulation, and sales channels across all BUs must post directly into the centralized General Ledger of Buymore (Thailand) Co., Ltd., enabling real-time consolidated Profit &amp; Loss (P&amp;L) reporting.</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Sales &amp; Order Fulfillment Workflows by Channel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rPr>
      </w:pPr>
      <w:r w:rsidDel="00000000" w:rsidR="00000000" w:rsidRPr="00000000">
        <w:rPr>
          <w:rFonts w:ascii="Arial" w:cs="Arial" w:eastAsia="Arial" w:hAnsi="Arial"/>
          <w:rtl w:val="0"/>
        </w:rPr>
        <w:t xml:space="preserve">Fulfillment environments vary heavily between retail fronts and industrial back-ends. The system must prevent inventory and bill-version discrepancy by executing specific operational flows: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2.1 Business Unit 1: TRD Bakermart (Retail &amp; Walk-in Wholesale Hybrid)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Designed as a scalable "Master Branch Model" ready for global cloning. The POS module must seamlessly handle 4 distinct transactional workflows:</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Drive-Through Flow:</w:t>
      </w:r>
      <w:r w:rsidDel="00000000" w:rsidR="00000000" w:rsidRPr="00000000">
        <w:rPr>
          <w:rFonts w:ascii="Arial" w:cs="Arial" w:eastAsia="Arial" w:hAnsi="Arial"/>
          <w:rtl w:val="0"/>
        </w:rPr>
        <w:t xml:space="preserve"> Verbal order at the front gate -&gt; physical stock load into vehicle -&gt; immediate quick-sale billing and cash/QR settlement handled via a single-screen interface.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Pure Retail Flow:</w:t>
      </w:r>
      <w:r w:rsidDel="00000000" w:rsidR="00000000" w:rsidRPr="00000000">
        <w:rPr>
          <w:rFonts w:ascii="Arial" w:cs="Arial" w:eastAsia="Arial" w:hAnsi="Arial"/>
          <w:rtl w:val="0"/>
        </w:rPr>
        <w:t xml:space="preserve"> Standard walk-in self-service customer -&gt; item barcode scanning at counter -&gt; instant settlement and real-time inventory deduction from the retail location.</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Hybrid Order Flow (Mixed Bulk and Retail Units):</w:t>
      </w:r>
      <w:r w:rsidDel="00000000" w:rsidR="00000000" w:rsidRPr="00000000">
        <w:rPr>
          <w:rFonts w:ascii="Arial" w:cs="Arial" w:eastAsia="Arial" w:hAnsi="Arial"/>
          <w:rtl w:val="0"/>
        </w:rPr>
        <w:t xml:space="preserve"> Customer orders large wholesale carton quantities alongside regular walk-in retail items. **Technical Requirement:** The cashier must be able to open a "Draft Order" to print a partial Picking Slip instantly to the front-store warehouse team for bulk assembly, while keeping the ticket active for scanning retail items. A single payment is collected, generating one unified final tax invoice.</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Pre-Order &amp; Add-on Flow:</w:t>
      </w:r>
      <w:r w:rsidDel="00000000" w:rsidR="00000000" w:rsidRPr="00000000">
        <w:rPr>
          <w:rFonts w:ascii="Arial" w:cs="Arial" w:eastAsia="Arial" w:hAnsi="Arial"/>
          <w:rtl w:val="0"/>
        </w:rPr>
        <w:t xml:space="preserve"> Customers place orders via remote channels in advance. Cashiers retrieve the open pre-order template on arrival, modify it on the fly to add/remove newly selected bulk or retail SKUs, and proceed to checkout.</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Fulfillment Control Constraint (Order Versioning):** To eliminate fulfillment errors caused by multiple invoice updates, the system must enforce strict Order Versioning. Edits to an active bill must only output a "Delta Slip" (printing changes only) to warehouse operators. The system mandates that the final door checker must use a handheld scanner to validate the barcode on the Final Invoice, executing a line-item item verification scan (Dispatch Check) before allowing stock out the door.</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2.2 Business Unit 2: Akra Wholesale (Back-end Industrial Wholesale &amp; Field Sales)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Operating exclusively as a Counter-Service OMS where clients cannot enter the physical storage facilities. Orders originate strictly via trade counter interactions or telephone/LINE pre-orders:</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Wholecase Strict Lock: The Akra OMS transaction terminal must be programmatically locked to display and trade SKU items strictly in "Carton, Pallet, or Sack" units. Broken-down retail packages from TRD must be completely hidden to prevent transactional errors.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Counter-Service Fulfillment Cycle: Counter order creation -&gt; system fires Picking Slip to main bulk warehouses -&gt; warehouse operators pick full cartons -&gt; client settles cash/bank transfer at counter -&gt; system verifies funds -&gt; physical dispatch onto the delivery vehicle.</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Field Sales Force Automation (SFA):** Field sales agents targeting bakeries, hotels, and industrial food factories must utilize a mobile-responsive SFA module. The application must feature GPS Geo-Tracking for mandatory client check-ins, record live interaction logs, display real-time "Sellable Stock" availability across main warehouses, and enable immediate on-site Quotation or Sales Order (SO) generation.</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3. Advanced Multi-Channel Dynamic Pricing Engine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To protect thin ingredient margins, the system must avoid flat-rate database architectures and adopt a highly dynamic pricing rule engine:</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BU-Specific Profile Separation: When a customer trades at TRD Bakermart (POS), the engine must ignore Akra conditions and read strictly from the `[TRD Pricing Conditions]` profile. When buying via Akra Wholesale (OMS), the engine must ignore TRD tiers and execute strictly from the `[Akra Pricing Conditions]` profile.</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TRD Bakermart Pricing Logic: Enforces Tier-Based Pricing bound directly to the retail customer database: T0 (Standard Retail), T1 (General Member), T2 (Commercial Shopfront Member), and T3 (Contract Deal Member). The POS UI must trigger a **Price History Alert**, displaying the exact unit price paid by this specific customer in their previous transaction for instant negotiations. Supports mix-and-match volume price breaks across multiple variations.</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Akra Wholesale Pricing Logic: Governed by Volume-Based breaks and deep Customer-Specific Contract Locks. The contract engine must lock prices at two levels: global back-end invoice percentage discounts, and Item-Level Contract Locks (e.g., locking a specific brand of flour to $400 flat for Client X, while letting all other items on the ticket trade at standard volume or dynamically inflated pricing).</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Minimum Price Protection Guardrail: Every single SKU must maintain a hidden "Minimum Price (Min Price)" threshold field representing raw cost boundaries. While agents can dynamically negotiate discounts, the ERP terminal must execute a hard programmatic stop (Hard Stop) blocking invoice generation if a unit price falls below the Min Price, unless authorized via a senior management credential bypass.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4. Payment Terms &amp; Strict Credit Controls</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Cash-First Enforcement: All standard transactions default to Cash Before Delivery or Cash Before Pickup.</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Strict Automated Credit Block: Credit clients comprise approximately 5% of the total customer base (accounting for 15% of gross revenue). The ERP must execute an automated **Auto-Hold** script: if a credit client exceeds their approved maximum Credit Limit, or possesses an open invoice that is overdue by even 1 day (Aging Overdue), the system must instantly flip the account status to `[On Hold]`. This flag completely blocks any new Sales Order or Picking Slip creation across all POS and OMS terminals until overridden via executive approval.</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5. Physical Warehouses, Virtual Status Locations &amp; Multi-UOM WMS</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5.1 Physical Warehouse Architecture (8 Core Locations)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Warehouse ID</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Physical Location Name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Temperature Control Type</w:t>
            </w:r>
          </w:p>
        </w:tc>
        <w:tc>
          <w:tcPr>
            <w:tcBorders>
              <w:top w:color="cbd5e0" w:space="0" w:sz="6" w:val="single"/>
              <w:left w:color="cbd5e0" w:space="0" w:sz="6" w:val="single"/>
              <w:bottom w:color="cbd5e0" w:space="0" w:sz="6" w:val="single"/>
              <w:right w:color="cbd5e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System Rule / Operational Scope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W1</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TRD Front Store Warehouse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Mixed Ambient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Houses limited stock for all active SKUs to fulfill walk-in retail needs. Serves as the Master Branch archetype. Experiences extreme high-frequency transactions. High risk for variance; requires an Auto-Replenishment module triggered by daily sales velocity to request stock from Akra bulk hubs.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W2</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Akra Main Wholesale Hub</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Standard Ambient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The primary sellable wholesale location for processing heavy palletized orders. Facility is integrated with industrial freight elevators.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W3</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Yellow Building Warehouse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Fast-Moving Ambient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Dedicated to high-turnover bulk lots. Houses internal **Zone S1 (Sensitive Room)**: a sealed, climate-shielded zone optimized to prevent high-heat degradation for sensitive items like shredded meat, jellies, and chocolates.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W4</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Green Building Warehouse</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Medium-Moving Ambient</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Dedicated to bulk packaging materials, piping bags, and grains. Houses internal **Zone C1 (Chilled Room)**: a walk-in cold-room operating strictly at 0-6°C for fresh dairy and temperature-sensitive ingredients.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W5</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Grey Building (Off-Market Hub)</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Slow-Moving Overflow</w:t>
            </w:r>
          </w:p>
        </w:tc>
        <w:tc>
          <w:tcPr>
            <w:tcBorders>
              <w:top w:color="cbd5e0" w:space="0" w:sz="6" w:val="single"/>
              <w:left w:color="cbd5e0" w:space="0" w:sz="6" w:val="single"/>
              <w:bottom w:color="cbd5e0" w:space="0" w:sz="6" w:val="single"/>
              <w:right w:color="cbd5e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A massive auxiliary facility used for stockpiling inventory, long-term reserves, and buffering overflow when W2, W3, or W4 reach volumetric capacity. Houses internal **Zone C2 (Frozen Room)**: deep-freeze industrial storage operating below -18°C.</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15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*(Total climate infrastructure maps to 8 separate physical WMS destination nodes: 5 Ambient, 1 Chilled, 1 Frozen, 1 Sensitive)*</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5.2 Virtual Status Warehouses (4 Isolated State Containers)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The WMS must treat these virtual environments as hard-coded **Non-Sellable Locations** to completely quarantine inventory states from everyday sales views, preventing ghost stock allocations:</w:t>
      </w:r>
    </w:p>
    <w:p w:rsidR="00000000" w:rsidDel="00000000" w:rsidP="00000000" w:rsidRDefault="00000000" w:rsidRPr="00000000" w14:paraId="0000003F">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V-BUF (Buffer &amp; Cross-Docking Virtual WMS): Temporary intake holding zone for goods arrived but not yet assigned a physical bin location. Coordinates **Cross-Docking** workflows where incoming inbound lots are immediately assigned to outward freight without storage. Temporarily holds supplier freebies and unidentified floating stock.</w:t>
      </w:r>
    </w:p>
    <w:p w:rsidR="00000000" w:rsidDel="00000000" w:rsidP="00000000" w:rsidRDefault="00000000" w:rsidRPr="00000000" w14:paraId="00000040">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V-DMG (Damage &amp; Claim / RTV Container): Quarantines broken, compromised, or expired inventory that qualifies for Return to Vendor (RTV) remediation. Entry into this zone automatically initiates an RTV log or triggers a supplier Credit Note (CN) sequence within procurement records.</w:t>
      </w:r>
    </w:p>
    <w:p w:rsidR="00000000" w:rsidDel="00000000" w:rsidP="00000000" w:rsidRDefault="00000000" w:rsidRPr="00000000" w14:paraId="00000041">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V-CLR (Clearance &amp; Promo Virtual WMS): Holds near-expiry or slightly degraded inventory that cannot be returned to suppliers. The system builds an architectural exception rule: only TRD Bakermart POS can view this virtual stock. Selecting stock from V-CLR forces the pricing engine to execute strict Markdown Rules, logging losses directly to promotional expense accounts.</w:t>
      </w:r>
    </w:p>
    <w:p w:rsidR="00000000" w:rsidDel="00000000" w:rsidP="00000000" w:rsidRDefault="00000000" w:rsidRPr="00000000" w14:paraId="00000042">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V-KILL (Scrap &amp; Write-Off Container): The absolute end-state for unsellable, non-returnable expired inventory. Stock remains locked here until an official physical destruction log executes, prompting a complete system Write-Off. Financial entries transfer balances directly to COGS Spoilage/Shrinkage accounts under national tax guidelines.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5.3 W1 Repacking, Fractionation &amp; BOM Control</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To resolve inventory blending between heavy wholesale sacks and broken-down retail bags, W1 utilizes a localized fractionation environment:</w:t>
      </w:r>
    </w:p>
    <w:p w:rsidR="00000000" w:rsidDel="00000000" w:rsidP="00000000" w:rsidRDefault="00000000" w:rsidRPr="00000000" w14:paraId="00000045">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W1-BLK (Bulk Storage Location): Houses bulk-pack inventory sacks (e.g., Cocoa 25kg Sack) transferred from Akra bulk hubs. POS cannot execute sales against this sub-location.</w:t>
      </w:r>
    </w:p>
    <w:p w:rsidR="00000000" w:rsidDel="00000000" w:rsidP="00000000" w:rsidRDefault="00000000" w:rsidRPr="00000000" w14:paraId="00000046">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Unicode MS" w:cs="Arial Unicode MS" w:eastAsia="Arial Unicode MS" w:hAnsi="Arial Unicode MS"/>
          <w:b w:val="1"/>
          <w:bCs w:val="1"/>
          <w:rtl w:val="0"/>
        </w:rPr>
        <w:t xml:space="preserve">W1-RTL (Retail Storefront เชลฟ์): Houses repackaged sub-units (e.g., Cocoa 1kg Bag) with dedicated barcodes, fully sellable via POS.</w:t>
      </w:r>
    </w:p>
    <w:p w:rsidR="00000000" w:rsidDel="00000000" w:rsidP="00000000" w:rsidRDefault="00000000" w:rsidRPr="00000000" w14:paraId="0000004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V-PACK (Virtual Repacking Processing Node): A virtual manufacturing bridge. When an admin initiates a Repacking Order, 1 sack of Cocoa is dropped from W1-BLK and placed inside V-PACK. Upon physical breakdown and worker completion entry, the system voids the bulk item from V-PACK, generates 25 bags of 1kg (or actual yield), and pushes the finished items to W1-RTL. The UI must support manual data logging for **Yield Loss / Shrinkage** to account for powder loss during processing.</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4a5568"/>
          <w:sz w:val="28"/>
          <w:szCs w:val="28"/>
        </w:rPr>
      </w:pPr>
      <w:r w:rsidDel="00000000" w:rsidR="00000000" w:rsidRPr="00000000">
        <w:rPr>
          <w:rFonts w:ascii="Arial" w:cs="Arial" w:eastAsia="Arial" w:hAnsi="Arial"/>
          <w:b w:val="1"/>
          <w:bCs w:val="1"/>
          <w:i w:val="0"/>
          <w:iCs w:val="0"/>
          <w:color w:val="4a5568"/>
          <w:sz w:val="28"/>
          <w:szCs w:val="28"/>
          <w:rtl w:val="0"/>
        </w:rPr>
        <w:t xml:space="preserve">5.4 FEFO Validation &amp; Multi-UOM Database Architecture</w:t>
      </w:r>
    </w:p>
    <w:p w:rsidR="00000000" w:rsidDel="00000000" w:rsidP="00000000" w:rsidRDefault="00000000" w:rsidRPr="00000000" w14:paraId="00000049">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Programmatic FEFO Lock: The WMS automatically maps pick paths prioritizing the earliest expiration date. During picking operations via Handheld Scanners, scanning an incorrect lot with a newer shelf-life triggers an error tone and locks out the terminal. Bypass requires a dedicated manager credential override (Moo Yong system approval).</w:t>
      </w:r>
    </w:p>
    <w:p w:rsidR="00000000" w:rsidDel="00000000" w:rsidP="00000000" w:rsidRDefault="00000000" w:rsidRPr="00000000" w14:paraId="0000004A">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Base UOM Architecture Rule: Developers must avoid creating multiple independent SKU rows for one product's variations (e.g., do not split items into distinct piece SKUs, pack SKUs, and carton SKUs). Implement **1 Master SKU + Multi-Barcode UOM Table mapping** (e.g., Barcode A = 1 Piece; Barcode B = 6 Pieces; Barcode C = 48 Pieces). The database layer calculates and updates inventory balances strictly using the **Base UOM (the smallest trade unit)** to avoid fractional floating-point corruption. Front-end UIs must re-render balances into human-readable Compound Units (e.g., "2 Cartons, 4 Packs, 3 Pieces").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6. Procurement Lifecycle, Receiving Workflows &amp; AI Intelligence</w:t>
      </w:r>
    </w:p>
    <w:p w:rsidR="00000000" w:rsidDel="00000000" w:rsidP="00000000" w:rsidRDefault="00000000" w:rsidRPr="00000000" w14:paraId="0000004C">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AI Portfolio Analyzer &amp; S-Curve Forecasting: The core ERP features an integrated AI module that analyzes SKU sales velocity against margins to flag low-performance items for elimination (AI SKU Cut). It monitors New Product Development (NPD) via tracking counters and generates seasonal procurement forecasts utilizing adaptive S-Curve curves to map peak market demands.</w:t>
      </w:r>
    </w:p>
    <w:p w:rsidR="00000000" w:rsidDel="00000000" w:rsidP="00000000" w:rsidRDefault="00000000" w:rsidRPr="00000000" w14:paraId="0000004D">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Floating Stock Conversion Flow: Operators can scan and log inbound supplier promotional items or untracked free samples as "Floating SKUs" directly into V-BUF. These items remain non-sellable until procurement mapping assigns an official item code (Master Data Conversion).</w:t>
      </w:r>
    </w:p>
    <w:p w:rsidR="00000000" w:rsidDel="00000000" w:rsidP="00000000" w:rsidRDefault="00000000" w:rsidRPr="00000000" w14:paraId="0000004E">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Procurement Match &amp; Rebates: Volume accumulation trackers are tied to major suppliers (e.g., Raomifood, Bangkok Inter Food, Lam Soon). Upon crossing contractual purchase thresholds, the ERP auto-generates supplier rebate receivables for accounting.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The Strict 5-Step Receiving Flow Structure:</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PR (Purchase Request): Any authorized user triggers a PR document upon identifying low stock levels.</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PO (Purchase Order): Procurement reviews PRs, amends custom pricing, and initiates a PO. The system defaults to the Last Cost entry but allows modification. The document status updates to `PO Opened`. The warehouse hub acknowledges the open PO to prepare physical layouts, shifting the status to `PO Pending Delivery`.</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 (Blind Receiving): On supplier arrival, operators use handheld scanners to create a BR log. **Crucial Specification:** The mobile screen must hide all ordered quantities and item targets from the PO, forcing a physical manual blind count. Supports multiple BR allocations per 1 PO if divided across distinct facility locations (e.g., splitting a delivery across W3 Yellow and W4 Green).</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GR (Goods Receipt): Warehouse admins pull all matching BR logs and consolidate them into a singular, official GR master sheet.</w:t>
      </w:r>
    </w:p>
    <w:p w:rsidR="00000000" w:rsidDel="00000000" w:rsidP="00000000" w:rsidRDefault="00000000" w:rsidRPr="00000000" w14:paraId="00000054">
      <w:pPr>
        <w:numPr>
          <w:ilvl w:val="0"/>
          <w:numId w:val="10"/>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3-Way Matching &amp; Completion: The system executes a programmatic 3-Way Match comparing the PO, the GR count, and the Supplier Invoice. Once cleared, the admin hits submit, moving the status to `Completed`, which officially updates active stock counts into the active Sellable WMS layer.</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i w:val="0"/>
          <w:iCs w:val="0"/>
          <w:color w:val="2b6cb0"/>
          <w:sz w:val="36"/>
          <w:szCs w:val="36"/>
        </w:rPr>
      </w:pPr>
      <w:r w:rsidDel="00000000" w:rsidR="00000000" w:rsidRPr="00000000">
        <w:rPr>
          <w:rFonts w:ascii="Arial" w:cs="Arial" w:eastAsia="Arial" w:hAnsi="Arial"/>
          <w:b w:val="1"/>
          <w:bCs w:val="1"/>
          <w:i w:val="0"/>
          <w:iCs w:val="0"/>
          <w:color w:val="2b6cb0"/>
          <w:sz w:val="36"/>
          <w:szCs w:val="36"/>
          <w:rtl w:val="0"/>
        </w:rPr>
        <w:t xml:space="preserve">7. Accounting Localization &amp; Core HR Integration</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Thai Taxation Framework: Localized engine natively managing Thai Value Added Tax (7% VAT, Inclusive/Exclusive options), Automatic receipt generation for POS Tax Invoices (ABB), Full Commercial Tax Invoices, and Withholding Tax configurations (1%, 3%, 5% WHT formats) with automated 50-Twi certification prints.</w:t>
      </w:r>
    </w:p>
    <w:p w:rsidR="00000000" w:rsidDel="00000000" w:rsidP="00000000" w:rsidRDefault="00000000" w:rsidRPr="00000000" w14:paraId="00000057">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Automated GL Posting Matrix: Sales realizations and inventory cost valuations (calculated strictly via Moving Average Costing) execute auto-posting loops to corresponding AR, AP, and COGS ledgers immediately upon POS checkout or PO Completion.</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Outsource Accounting Gateway: Provides a restricted "Auditor User Role" for external accounting firms, allowing safe read-only query access to General Ledgers and Trial Balances. Standardized export options map transactions directly to Excel/CSV formats customized for instant entry into legacy account software (Express, FlowAccount, PEAK).</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Hrzoft API Data Bridge: To prevent data redundancy, the ERP omits native payroll calculations. Instead, it utilizes a secure RESTful API connection to the existing **Hrzoft** infrastructure, syncing employee master rosters, roles, and employment statuses to automatically generate and govern User Access Roles within the ERP environment.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