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Unified Design Document</w:t>
      </w:r>
    </w:p>
    <w:p>
      <w:pPr>
        <w:jc w:val="left"/>
      </w:pPr>
      <w:r>
        <w:rPr>
          <w:b/>
          <w:color w:val="1F4E79"/>
          <w:sz w:val="32"/>
        </w:rPr>
        <w:t>Table of Contents</w:t>
      </w:r>
    </w:p>
    <w:p>
      <w:r>
        <w:fldChar w:fldCharType="begin"/>
        <w:instrText xml:space="preserve">TOC \o "1-3" \h \z \u</w:instrText>
        <w:fldChar w:fldCharType="separate"/>
        <w:fldChar w:fldCharType="end"/>
      </w:r>
    </w:p>
    <w:p>
      <w:r>
        <w:br w:type="page"/>
      </w:r>
    </w:p>
    <w:p>
      <w:pPr>
        <w:pStyle w:val="Heading1"/>
      </w:pPr>
      <w:r>
        <w:rPr>
          <w:b/>
          <w:color w:val="2F5496"/>
          <w:sz w:val="32"/>
        </w:rPr>
        <w:t>SECTION: 1. Purpose</w:t>
      </w:r>
    </w:p>
    <w:p>
      <w:pPr>
        <w:spacing w:after="120"/>
      </w:pPr>
      <w:r>
        <w:t>The purpose of this Unified Design Document (UDD) is to provide a comprehensive and structured overview of the proposed solution, capturing all relevant design specifications and requirements. This document serves as the authoritative reference for stakeholders, developers, and project teams throughout the implementation lifecycle. It ensures alignment between business objectives and technical execution, facilitating efficient delivery and informed decision-making. The expected outcome is a thoroughly documented design that supports a successful and high-quality deployment.</w:t>
      </w:r>
    </w:p>
    <w:p/>
    <w:p>
      <w:pPr>
        <w:pStyle w:val="Heading1"/>
      </w:pPr>
      <w:r>
        <w:rPr>
          <w:b/>
          <w:color w:val="2F5496"/>
          <w:sz w:val="32"/>
        </w:rPr>
        <w:t>SECTION: 2. Scope</w:t>
      </w:r>
    </w:p>
    <w:p>
      <w:pPr>
        <w:spacing w:after="120"/>
      </w:pPr>
      <w:r>
        <w:t>SECTION 2. Scope</w:t>
      </w:r>
    </w:p>
    <w:p>
      <w:pPr>
        <w:spacing w:after="120"/>
      </w:pPr>
      <w:r>
        <w:t>This Unified Design Document (UDD) outlines the design specifications for [To Be Filled]. The scope includes all processes, objects, and user roles directly impacted by the proposed solution. Specifically, in-scope items consist of functionalities, integrations, modules, and workflows as defined within the solution boundaries. Out-of-scope items are those processes, functionalities, or user groups not directly influenced by the implementation or that fall outside the current project objectives. Further definition of in-scope and out-of-scope elements will be provided upon finalization of the functional specifications.</w:t>
      </w:r>
    </w:p>
    <w:p/>
    <w:p>
      <w:pPr>
        <w:pStyle w:val="Heading1"/>
      </w:pPr>
      <w:r>
        <w:rPr>
          <w:b/>
          <w:color w:val="2F5496"/>
          <w:sz w:val="32"/>
        </w:rPr>
        <w:t>SECTION: 3. Structure</w:t>
      </w:r>
    </w:p>
    <w:p>
      <w:pPr>
        <w:spacing w:after="120"/>
      </w:pPr>
      <w:r>
        <w:t>SECTION 3. Structure</w:t>
      </w:r>
    </w:p>
    <w:p>
      <w:pPr>
        <w:spacing w:after="120"/>
      </w:pPr>
      <w:r>
        <w:t>This Unified Design Document (UDD) comprises the following structural components, each designed to address critical aspects of the proposed solution:</w:t>
      </w:r>
    </w:p>
    <w:p>
      <w:pPr>
        <w:spacing w:after="120"/>
      </w:pPr>
      <w:r>
        <w:t>- Table: Details the database tables utilized or created within the solution, including field definitions and key structures.</w:t>
        <w:br/>
        <w:t>- Value Help: Describes the value help mechanisms such as search helps and domain fixed values that support user input validation and selection.</w:t>
        <w:br/>
        <w:t>- CDS (Core Data Services): Defines CDS views implemented for data modeling, reporting, and integration purposes.</w:t>
        <w:br/>
        <w:t>- Function Module: Documents function modules developed or enhanced as part of the solution’s functional logic.</w:t>
        <w:br/>
        <w:t>- Global Class: Provides specifications for global classes, including their attributes, methods, and integration points within the application.</w:t>
        <w:br/>
        <w:t>- Report Program: Outlines custom report programs, specifying their objectives, selection screens, and output formats.</w:t>
      </w:r>
    </w:p>
    <w:p>
      <w:pPr>
        <w:spacing w:after="120"/>
      </w:pPr>
      <w:r>
        <w:t>Subsequent sections of this document elaborate on each component in detail, ensuring comprehensive coverage and clarity for stakeholders and implementation teams.</w:t>
      </w:r>
    </w:p>
    <w:p/>
    <w:p>
      <w:pPr>
        <w:pStyle w:val="Heading1"/>
      </w:pPr>
      <w:r>
        <w:rPr>
          <w:b/>
          <w:color w:val="2F5496"/>
          <w:sz w:val="32"/>
        </w:rPr>
        <w:t>SECTION: 3.1. Functional Requirement</w:t>
      </w:r>
    </w:p>
    <w:p>
      <w:pPr>
        <w:spacing w:after="120"/>
      </w:pPr>
      <w:r>
        <w:t>SECTION 3.1. Functional Requirement</w:t>
      </w:r>
    </w:p>
    <w:p>
      <w:pPr>
        <w:spacing w:after="120"/>
      </w:pPr>
      <w:r>
        <w:t>- [To Be Filled]</w:t>
      </w:r>
    </w:p>
    <w:p/>
    <w:p>
      <w:pPr>
        <w:pStyle w:val="Heading1"/>
      </w:pPr>
      <w:r>
        <w:rPr>
          <w:b/>
          <w:color w:val="2F5496"/>
          <w:sz w:val="32"/>
        </w:rPr>
        <w:t>SECTION: 3.2. Technical Architecture</w:t>
      </w:r>
    </w:p>
    <w:p>
      <w:pPr>
        <w:spacing w:after="120"/>
      </w:pPr>
      <w:r>
        <w:t>SECTION 3.2. Technical Architecture</w:t>
      </w:r>
    </w:p>
    <w:p>
      <w:pPr>
        <w:spacing w:after="120"/>
      </w:pPr>
      <w:r>
        <w:t>The technical architecture required to realize the outlined functional requirements is yet to be defined. As the functional specification did not provide relevant details, the high-level technical structure, involved objects, system interactions, and dependencies will be determined upon receipt of further documentation.</w:t>
      </w:r>
    </w:p>
    <w:p>
      <w:pPr>
        <w:spacing w:after="120"/>
      </w:pPr>
      <w:r>
        <w:t>[To Be Filled]</w:t>
      </w:r>
    </w:p>
    <w:p/>
    <w:p>
      <w:pPr>
        <w:pStyle w:val="Heading1"/>
      </w:pPr>
      <w:r>
        <w:rPr>
          <w:b/>
          <w:color w:val="2F5496"/>
          <w:sz w:val="32"/>
        </w:rPr>
        <w:t>SECTION: 4. Table</w:t>
      </w:r>
    </w:p>
    <w:p>
      <w:pPr>
        <w:spacing w:after="120"/>
      </w:pPr>
      <w:r>
        <w:t>SECTION 4. Table</w:t>
      </w:r>
    </w:p>
    <w:p>
      <w:pPr>
        <w:spacing w:after="120"/>
      </w:pPr>
      <w:r>
        <w:t>This section provides an overview of the database tables relevant to the solution. It summarizes the tables either created or utilized, detailing their role in supporting the required business processes and integration scenarios. Subsequent subsections will contain detailed specifications for each table, including field definitions and key structures.</w:t>
      </w:r>
    </w:p>
    <w:p>
      <w:pPr>
        <w:spacing w:after="120"/>
      </w:pPr>
      <w:r>
        <w:t>[To Be Filled]</w:t>
      </w:r>
    </w:p>
    <w:p/>
    <w:p>
      <w:pPr>
        <w:pStyle w:val="Heading1"/>
      </w:pPr>
      <w:r>
        <w:rPr>
          <w:b/>
          <w:color w:val="2F5496"/>
          <w:sz w:val="32"/>
        </w:rPr>
        <w:t>SECTION: 4.1. Functional Requirement</w:t>
      </w:r>
    </w:p>
    <w:p>
      <w:pPr>
        <w:spacing w:after="120"/>
      </w:pPr>
      <w:r>
        <w:t>The custom table is required to support enhanced auditability and traceability of business transactions within the solution scope. It will facilitate the systematic recording of key data changes, enable monitoring of process execution, and provide a reliable source for reporting purposes. The table will ensure compliance with internal control requirements and support data integrity throughout the lifecycle of the relevant business processes.</w:t>
      </w:r>
    </w:p>
    <w:p/>
    <w:p>
      <w:pPr>
        <w:pStyle w:val="Heading1"/>
      </w:pPr>
      <w:r>
        <w:rPr>
          <w:b/>
          <w:color w:val="2F5496"/>
          <w:sz w:val="32"/>
        </w:rPr>
        <w:t>SECTION: 4.2. Data Source</w:t>
      </w:r>
    </w:p>
    <w:p>
      <w:pPr>
        <w:spacing w:after="120"/>
      </w:pPr>
      <w:r>
        <w:t>SECTION 4.2. Data Source</w:t>
      </w:r>
    </w:p>
    <w:p>
      <w:pPr>
        <w:spacing w:after="120"/>
      </w:pPr>
      <w:r>
        <w:t>The data source for the custom table is currently undetermined. As the functional specification does not specify the originating SAP tables or external sources (e.g., EKKO, EKPO, Z*), further clarification is required to accurately define the systems, standard tables, or custom entities that will populate or reference this table.</w:t>
      </w:r>
    </w:p>
    <w:p>
      <w:pPr>
        <w:spacing w:after="120"/>
      </w:pPr>
      <w:r>
        <w:t>[To Be Filled]</w:t>
      </w:r>
    </w:p>
    <w:p/>
    <w:p>
      <w:pPr>
        <w:pStyle w:val="Heading1"/>
      </w:pPr>
      <w:r>
        <w:rPr>
          <w:b/>
          <w:color w:val="2F5496"/>
          <w:sz w:val="32"/>
        </w:rPr>
        <w:t>SECTION: 4.3. Technical Architecture</w:t>
      </w:r>
    </w:p>
    <w:p>
      <w:pPr>
        <w:spacing w:after="120"/>
      </w:pPr>
      <w:r>
        <w:t>SECTION 4.3. Technical Architecture</w:t>
      </w:r>
    </w:p>
    <w:p>
      <w:pPr>
        <w:spacing w:after="120"/>
      </w:pPr>
      <w:r>
        <w:t>The technical architecture of the custom table is under development. At this stage, the following key aspects are to be considered:</w:t>
      </w:r>
    </w:p>
    <w:p>
      <w:pPr>
        <w:spacing w:after="120"/>
      </w:pPr>
      <w:r>
        <w:t>- Table definition details, including field specifications, technical field types, and length, are yet to be finalized.</w:t>
        <w:br/>
        <w:t>- Primary key(s) and, if applicable, composite key structures remain to be determined to ensure unique identification of records and support for auditability requirements.</w:t>
        <w:br/>
        <w:t>- Foreign key relationships and dependencies on other SAP standard or custom tables are currently unspecified and require further input.</w:t>
        <w:br/>
        <w:t>- Technical settings, such as data class, delivery class, buffering, and logging activation, have not been defined.</w:t>
      </w:r>
    </w:p>
    <w:p>
      <w:pPr>
        <w:spacing w:after="120"/>
      </w:pPr>
      <w:r>
        <w:t>Once the functional and data source requirements are clarified, the table structure and technical configuration will be designed to support robust audit trails and data integrity throughout the relevant business process lifecycle.</w:t>
      </w:r>
    </w:p>
    <w:p>
      <w:pPr>
        <w:spacing w:after="120"/>
      </w:pPr>
      <w:r>
        <w:t>[To Be Filled]</w:t>
      </w:r>
    </w:p>
    <w:p/>
    <w:p>
      <w:pPr>
        <w:pStyle w:val="Heading1"/>
      </w:pPr>
      <w:r>
        <w:rPr>
          <w:b/>
          <w:color w:val="2F5496"/>
          <w:sz w:val="32"/>
        </w:rPr>
        <w:t>SECTION: 5. Value Help</w:t>
      </w:r>
    </w:p>
    <w:p>
      <w:pPr>
        <w:spacing w:after="120"/>
      </w:pPr>
      <w:r>
        <w:t>SECTION 5. Value Help</w:t>
      </w:r>
    </w:p>
    <w:p>
      <w:pPr>
        <w:spacing w:after="120"/>
      </w:pPr>
      <w:r>
        <w:t>The value help requirements for the custom table are not specified in the current functional specification. Details regarding value help concepts, such as input aids, dropdown lists, or F4 search functionality for specific fields, as well as the conditions under which value help is triggered, remain to be defined. Further clarification is required to ascertain whether standard or custom value help will be implemented and which fields, if any, will feature such support.</w:t>
      </w:r>
    </w:p>
    <w:p>
      <w:pPr>
        <w:spacing w:after="120"/>
      </w:pPr>
      <w:r>
        <w:t>[To Be Filled]</w:t>
      </w:r>
    </w:p>
    <w:p/>
    <w:p>
      <w:pPr>
        <w:pStyle w:val="Heading1"/>
      </w:pPr>
      <w:r>
        <w:rPr>
          <w:b/>
          <w:color w:val="2F5496"/>
          <w:sz w:val="32"/>
        </w:rPr>
        <w:t>SECTION: 5.1. Functional Requirements</w:t>
      </w:r>
    </w:p>
    <w:p>
      <w:pPr>
        <w:spacing w:after="120"/>
      </w:pPr>
      <w:r>
        <w:t>SECTION 5.1. Functional Requirements</w:t>
      </w:r>
    </w:p>
    <w:p>
      <w:pPr>
        <w:spacing w:after="120"/>
      </w:pPr>
      <w:r>
        <w:t>The functional requirements for value help have not been specified in the available functional specification. Consequently, user scenarios necessitating value help—such as assisted data entry, selection from predefined lists, or F4 search functionality—are currently undefined. Expected behavior, including the identification of fields requiring value help, the type of value help to be used (standard or custom), and triggering conditions, remains to be clarified. Further input is needed to ensure comprehensive coverage of user needs regarding value help support in the custom table.</w:t>
      </w:r>
    </w:p>
    <w:p/>
    <w:p>
      <w:pPr>
        <w:pStyle w:val="Heading1"/>
      </w:pPr>
      <w:r>
        <w:rPr>
          <w:b/>
          <w:color w:val="2F5496"/>
          <w:sz w:val="32"/>
        </w:rPr>
        <w:t>SECTION: 5.2. Data Source</w:t>
      </w:r>
    </w:p>
    <w:p>
      <w:pPr>
        <w:spacing w:after="120"/>
      </w:pPr>
      <w:r>
        <w:t>The data sources backing the value help are not defined in the current functional specification. Table or view fields intended to provide value help functionality have yet to be identified. Further clarification is required to specify the underlying data sources for each value help instance, including reference tables, views, or custom data sets. This information will be updated once the relevant specifications are made available.</w:t>
      </w:r>
    </w:p>
    <w:p/>
    <w:p>
      <w:pPr>
        <w:pStyle w:val="Heading1"/>
      </w:pPr>
      <w:r>
        <w:rPr>
          <w:b/>
          <w:color w:val="2F5496"/>
          <w:sz w:val="32"/>
        </w:rPr>
        <w:t>SECTION: 6. CDS</w:t>
      </w:r>
    </w:p>
    <w:p>
      <w:pPr>
        <w:spacing w:after="120"/>
      </w:pPr>
      <w:r>
        <w:t>SECTION 6. CDS</w:t>
      </w:r>
    </w:p>
    <w:p>
      <w:pPr>
        <w:spacing w:after="120"/>
      </w:pPr>
      <w:r>
        <w:t>A Core Data Services (CDS) view will be implemented to provide a structured, semantically rich data model for the custom solution. The CDS view serves as an abstraction layer, exposing relevant business data in a manner that supports efficient and consistent data access. Its primary purpose is to facilitate reporting, data retrieval, and integration with consuming applications.</w:t>
      </w:r>
    </w:p>
    <w:p>
      <w:pPr>
        <w:spacing w:after="120"/>
      </w:pPr>
      <w:r>
        <w:t>The CDS view is intended for consumption by SAP Fiori applications, analytical tools (such as ALV reports), and other front-end interfaces that require streamlined access to the underlying data. By leveraging CDS, the solution ensures reusability, enhanced performance, and alignment with SAP best practices for S/4HANA development.</w:t>
      </w:r>
    </w:p>
    <w:p>
      <w:pPr>
        <w:spacing w:after="120"/>
      </w:pPr>
      <w:r>
        <w:t>Further details regarding the specific data model, selection logic, and exposed fields will be defined as design progresses and additional requirements are clarified.</w:t>
      </w:r>
    </w:p>
    <w:p/>
    <w:p>
      <w:pPr>
        <w:pStyle w:val="Heading1"/>
      </w:pPr>
      <w:r>
        <w:rPr>
          <w:b/>
          <w:color w:val="2F5496"/>
          <w:sz w:val="32"/>
        </w:rPr>
        <w:t>SECTION: 6.1. Functional Requirements</w:t>
      </w:r>
    </w:p>
    <w:p>
      <w:pPr>
        <w:spacing w:after="120"/>
      </w:pPr>
      <w:r>
        <w:t>SECTION 6.1. Functional Requirements</w:t>
      </w:r>
    </w:p>
    <w:p>
      <w:pPr>
        <w:spacing w:after="120"/>
      </w:pPr>
      <w:r>
        <w:t>The Core Data Services (CDS) view is expected to enable efficient, user-centric access to business data required by the custom solution. The CDS will provide users with timely and consistent retrieval of information through standardized, semantically rich data models. Outcomes enabled by the CDS include:</w:t>
      </w:r>
    </w:p>
    <w:p>
      <w:pPr>
        <w:spacing w:after="120"/>
      </w:pPr>
      <w:r>
        <w:t>- Seamless integration with SAP Fiori applications, allowing end users to view, analyze, and interact with relevant business data via intuitive interfaces.</w:t>
        <w:br/>
        <w:t>- Support for analytical tools and ALV reports, enabling users to generate reports and perform data analysis without direct dependency on underlying database tables.</w:t>
        <w:br/>
        <w:t>- Structured and reusable exposure of selected data fields, ensuring consistent information is available for various consumption contexts.</w:t>
        <w:br/>
        <w:t>- Enhanced data access performance, reducing latency and improving user experience in data-intensive scenarios.</w:t>
        <w:br/>
        <w:t>- Alignment with SAP S/4HANA development best practices, ensuring long-term maintainability and scalability.</w:t>
      </w:r>
    </w:p>
    <w:p>
      <w:pPr>
        <w:spacing w:after="120"/>
      </w:pPr>
      <w:r>
        <w:t>Further functional outcomes may be elaborated as additional requirements are defined.</w:t>
      </w:r>
    </w:p>
    <w:p/>
    <w:p>
      <w:pPr>
        <w:pStyle w:val="Heading1"/>
      </w:pPr>
      <w:r>
        <w:rPr>
          <w:b/>
          <w:color w:val="2F5496"/>
          <w:sz w:val="32"/>
        </w:rPr>
        <w:t>SECTION: 6.2. Data Source</w:t>
      </w:r>
    </w:p>
    <w:p>
      <w:pPr>
        <w:spacing w:after="120"/>
      </w:pPr>
      <w:r>
        <w:t>SECTION: 6.2. Data Source</w:t>
      </w:r>
    </w:p>
    <w:p>
      <w:pPr>
        <w:spacing w:after="120"/>
      </w:pPr>
      <w:r>
        <w:t>The underlying tables and associations utilized by the Core Data Services (CDS) view have not been specified in the current functional documentation. Specific data sources—including SAP standard tables, custom tables, and views—as well as their primary associations will be defined as the data model design progresses. Additional details regarding join logic, cardinality, and target associations will be provided once the relevant specifications are available.</w:t>
      </w:r>
    </w:p>
    <w:p>
      <w:pPr>
        <w:spacing w:after="120"/>
      </w:pPr>
      <w:r>
        <w:t>At this stage, further clarification is required to precisely identify the core tables and associations to be employed by the CDS view. This section will be updated accordingly upon receipt of finalized technical requirements.</w:t>
      </w:r>
    </w:p>
    <w:p/>
    <w:p>
      <w:pPr>
        <w:pStyle w:val="Heading1"/>
      </w:pPr>
      <w:r>
        <w:rPr>
          <w:b/>
          <w:color w:val="2F5496"/>
          <w:sz w:val="32"/>
        </w:rPr>
        <w:t>SECTION: 7. Function Module</w:t>
      </w:r>
    </w:p>
    <w:p>
      <w:pPr>
        <w:spacing w:after="120"/>
      </w:pPr>
      <w:r>
        <w:t>The function module planned for this solution will serve as an integration point, supporting business logic execution that complements the data exposure provided by the Core Data Services (CDS) view. It is intended to be invoked by consuming applications or processes—such as SAP Fiori interfaces, background jobs, or reporting utilities—whenever dynamic business processing, validations, or enrichments are required in addition to the standard data retrieval.</w:t>
      </w:r>
    </w:p>
    <w:p>
      <w:pPr>
        <w:spacing w:after="120"/>
      </w:pPr>
      <w:r>
        <w:t>The function module will receive relevant input parameters, process business logic as defined by future requirements, and return structured output (such as calculation results, status indicators, or processed datasets) to the calling application or interface. Specific invocation scenarios and the exact nature of the returned data will be determined upon further definition of the business process and integration requirements.</w:t>
      </w:r>
    </w:p>
    <w:p>
      <w:pPr>
        <w:spacing w:after="120"/>
      </w:pPr>
      <w:r>
        <w:t>At this stage, the detailed trigger events, input/output schema, and processing logic for the function module are pending clarification and will be documented as functional and technical design discussions progress.</w:t>
      </w:r>
    </w:p>
    <w:p/>
    <w:p>
      <w:pPr>
        <w:pStyle w:val="Heading1"/>
      </w:pPr>
      <w:r>
        <w:rPr>
          <w:b/>
          <w:color w:val="2F5496"/>
          <w:sz w:val="32"/>
        </w:rPr>
        <w:t>SECTION: 7.1. Functional Requirement</w:t>
      </w:r>
    </w:p>
    <w:p>
      <w:pPr>
        <w:spacing w:after="120"/>
      </w:pPr>
      <w:r>
        <w:t>SECTION 7.1. Functional Requirement</w:t>
      </w:r>
    </w:p>
    <w:p>
      <w:pPr>
        <w:spacing w:after="120"/>
      </w:pPr>
      <w:r>
        <w:t>The function module is designed to address business requirements that extend beyond data retrieval by the CDS view. Specifically, it will execute dynamic business logic, such as complex calculations, data validations, or enrichment processes, in real time. The FM ensures that consuming applications—such as SAP Fiori interfaces or background processing jobs—obtain properly processed and validated results based on current business rules. The exact nature of the business calculations or validations performed by the function module is pending further specification and will be defined as detailed requirements are finalized.</w:t>
      </w:r>
    </w:p>
    <w:p/>
    <w:p>
      <w:pPr>
        <w:pStyle w:val="Heading1"/>
      </w:pPr>
      <w:r>
        <w:rPr>
          <w:b/>
          <w:color w:val="2F5496"/>
          <w:sz w:val="32"/>
        </w:rPr>
        <w:t>SECTION: 7.2. Data Source</w:t>
      </w:r>
    </w:p>
    <w:p>
      <w:pPr>
        <w:spacing w:after="120"/>
      </w:pPr>
      <w:r>
        <w:t>The function module’s specific input parameters, output structures, and exceptions have not yet been defined in the current functional documentation. As such, the following details remain pending:</w:t>
      </w:r>
    </w:p>
    <w:p>
      <w:pPr>
        <w:spacing w:after="120"/>
      </w:pPr>
      <w:r>
        <w:t>- **Inputs:** [To Be Filled]</w:t>
        <w:br/>
        <w:t>- **Outputs:** [To Be Filled]</w:t>
        <w:br/>
        <w:t>- **Exceptions:** [To Be Filled]</w:t>
      </w:r>
    </w:p>
    <w:p>
      <w:pPr>
        <w:spacing w:after="120"/>
      </w:pPr>
      <w:r>
        <w:t>This section will be updated upon finalization of the technical requirements and detailed design specifications.</w:t>
      </w:r>
    </w:p>
    <w:p/>
    <w:p>
      <w:pPr>
        <w:pStyle w:val="Heading1"/>
      </w:pPr>
      <w:r>
        <w:rPr>
          <w:b/>
          <w:color w:val="2F5496"/>
          <w:sz w:val="32"/>
        </w:rPr>
        <w:t>SECTION: 8. Global Class</w:t>
      </w:r>
    </w:p>
    <w:p>
      <w:pPr>
        <w:spacing w:after="120"/>
      </w:pPr>
      <w:r>
        <w:t>SECTION: 8. Global Class</w:t>
      </w:r>
    </w:p>
    <w:p>
      <w:pPr>
        <w:spacing w:after="120"/>
      </w:pPr>
      <w:r>
        <w:t>The global class will serve as the primary implementation entity responsible for encapsulating business logic invoked by the function module. Its responsibilities will include orchestrating data fetching operations, executing validations as mandated by business requirements, and performing any required data enrichment or calculation processes. Additionally, the class will manage the lifecycle of business operations—such as closing or finalizing processing steps—and ensure proper logging of key processing events or errors for traceability and audit purposes. Where applicable, the class will also handle the formatting and delivery of results for display to consuming applications or user interfaces. Specific methods and detailed class design will be defined as functional and technical requirements are further refined.</w:t>
      </w:r>
    </w:p>
    <w:p/>
    <w:p>
      <w:pPr>
        <w:pStyle w:val="Heading1"/>
      </w:pPr>
      <w:r>
        <w:rPr>
          <w:b/>
          <w:color w:val="2F5496"/>
          <w:sz w:val="32"/>
        </w:rPr>
        <w:t>SECTION: 8.1. Overview</w:t>
      </w:r>
    </w:p>
    <w:p>
      <w:pPr>
        <w:spacing w:after="120"/>
      </w:pPr>
      <w:r>
        <w:t>SECTION: 8.1. Overview</w:t>
      </w:r>
    </w:p>
    <w:p>
      <w:pPr>
        <w:spacing w:after="120"/>
      </w:pPr>
      <w:r>
        <w:t>The global class operates as the central component responsible for implementing the business logic executed by the associated function module. Its primary responsibilities include orchestrating data acquisition, applying business validations, performing calculations, and enriching data in accordance with current business requirements. Throughout the lifecycle of business operations, the class manages key processing stages—such as initiation, validation, enrichment, and closure—while ensuring accurate logging and traceability of significant events and errors. Additionally, the class is tasked with formatting and delivering processed results to downstream applications or user interfaces, thereby supporting both real-time and background business scenarios. Specific implementation details will be further refined as additional requirements are defined.</w:t>
      </w:r>
    </w:p>
    <w:p/>
    <w:p>
      <w:pPr>
        <w:pStyle w:val="Heading1"/>
      </w:pPr>
      <w:r>
        <w:rPr>
          <w:b/>
          <w:color w:val="2F5496"/>
          <w:sz w:val="32"/>
        </w:rPr>
        <w:t>SECTION: 8.2. Class Architecture</w:t>
      </w:r>
    </w:p>
    <w:p>
      <w:pPr>
        <w:spacing w:after="120"/>
      </w:pPr>
      <w:r>
        <w:t>SECTION: 8.2. Class Architecture</w:t>
      </w:r>
    </w:p>
    <w:p>
      <w:pPr>
        <w:spacing w:after="120"/>
      </w:pPr>
      <w:r>
        <w:t>The global class will have public visibility to ensure accessibility by the calling function module and other relevant components. At this stage, no specific interfaces have been defined for implementation; however, optional interface implementation may be considered as technical requirements are finalized. The class is not anticipated to inherit from any existing superclass, but inheritance may be revisited pending the identification of common business functionality or framework integration needs. The final structure, including implemented interfaces and inheritance hierarchy, will be documented once detailed design activities are completed.</w:t>
      </w:r>
    </w:p>
    <w:p/>
    <w:p>
      <w:pPr>
        <w:pStyle w:val="Heading1"/>
      </w:pPr>
      <w:r>
        <w:rPr>
          <w:b/>
          <w:color w:val="2F5496"/>
          <w:sz w:val="32"/>
        </w:rPr>
        <w:t>SECTION: 8.3. Attributes</w:t>
      </w:r>
    </w:p>
    <w:p>
      <w:pPr>
        <w:spacing w:after="120"/>
      </w:pPr>
      <w:r>
        <w:t>SECTION: 8.3. Attributes</w:t>
      </w:r>
    </w:p>
    <w:p>
      <w:pPr>
        <w:spacing w:after="120"/>
      </w:pPr>
      <w:r>
        <w:t>The global class will maintain a set of internal attributes designed to support the encapsulation of core business logic and facilitate seamless execution of processing steps. Key attributes are anticipated to include:</w:t>
      </w:r>
    </w:p>
    <w:p>
      <w:pPr>
        <w:spacing w:after="120"/>
      </w:pPr>
      <w:r>
        <w:t xml:space="preserve">- Data containers for storing information retrieved from persistent storage during data acquisition operations.  </w:t>
        <w:br/>
        <w:t xml:space="preserve">- Structures or internal tables used to temporarily hold, process, and enrich transactional or master data in memory throughout various processing stages.  </w:t>
        <w:br/>
        <w:t xml:space="preserve">- Flags and status variables to track processing state, such as completion indicators, error flags, or current operation step.  </w:t>
        <w:br/>
        <w:t xml:space="preserve">- Validation and calculation context fields supporting business rule enforcement and arithmetic operations.  </w:t>
        <w:br/>
        <w:t xml:space="preserve">- Logging objects or message containers for capturing and storing processing events and errors, enhancing traceability and auditability.  </w:t>
        <w:br/>
        <w:t>- Output buffers or result structures to format and deliver processed data to consuming applications or user interfaces.</w:t>
      </w:r>
    </w:p>
    <w:p>
      <w:pPr>
        <w:spacing w:after="120"/>
      </w:pPr>
      <w:r>
        <w:t>Specific attribute definitions—including data types, structures, and visibility—will be finalized as detailed functional and technical requirements are established.</w:t>
      </w:r>
    </w:p>
    <w:p/>
    <w:p>
      <w:pPr>
        <w:pStyle w:val="Heading1"/>
      </w:pPr>
      <w:r>
        <w:rPr>
          <w:b/>
          <w:color w:val="2F5496"/>
          <w:sz w:val="32"/>
        </w:rPr>
        <w:t>SECTION: 8.4. Methods</w:t>
      </w:r>
    </w:p>
    <w:p>
      <w:pPr>
        <w:spacing w:after="120"/>
      </w:pPr>
      <w:r>
        <w:t>SECTION: 8.4. Methods</w:t>
      </w:r>
    </w:p>
    <w:p>
      <w:pPr>
        <w:spacing w:after="120"/>
      </w:pPr>
      <w:r>
        <w:t>The global class will provide a comprehensive set of method groups, each aligned with the principal stages of business logic processing. Initialization methods will establish the necessary execution context and prepare requisite internal structures. Data fetch methods will retrieve and load data from persistent sources required for processing. Validation methods will enforce business rules and verify data integrity before further processing steps. Processing methods will execute calculations, perform data enrichment, and apply specific business logic according to requirements. Logging methods will record significant events and errors to ensure traceability throughout the execution lifecycle. Display or output methods will format and present results to consuming applications or user interfaces. Commit and closure methods will finalize transactions or workflows, ensuring appropriate completion and resource deallocation. Detailed method definitions and signatures will be provided as further functional and technical requirements are determined.</w:t>
      </w:r>
    </w:p>
    <w:p/>
    <w:p>
      <w:pPr>
        <w:pStyle w:val="Heading1"/>
      </w:pPr>
      <w:r>
        <w:rPr>
          <w:b/>
          <w:color w:val="2F5496"/>
          <w:sz w:val="32"/>
        </w:rPr>
        <w:t>SECTION: 8.5. Example Class Usage in Report</w:t>
      </w:r>
    </w:p>
    <w:p>
      <w:pPr>
        <w:spacing w:after="120"/>
      </w:pPr>
      <w:r>
        <w:t>In the report context, the global class will be instantiated at the beginning of the report execution to encapsulate and manage all relevant business logic. The report will invoke initialization methods to prepare the processing context and execute data fetch methods to retrieve the required persistent data. Subsequent calls to validation and processing methods will ensure that business rules are enforced and calculations are performed as specified. Throughout execution, logging methods will be utilized to record significant events and errors, enhancing traceability. Finally, output and closure methods will be called to present results to the user and finalize any transactional activity. The precise sequence and selection of method calls will reflect the specific process flow defined by the report’s requirements.</w:t>
      </w:r>
    </w:p>
    <w:p/>
    <w:p>
      <w:pPr>
        <w:pStyle w:val="Heading1"/>
      </w:pPr>
      <w:r>
        <w:rPr>
          <w:b/>
          <w:color w:val="2F5496"/>
          <w:sz w:val="32"/>
        </w:rPr>
        <w:t>SECTION: 8.6. Exception Handling</w:t>
      </w:r>
    </w:p>
    <w:p>
      <w:pPr>
        <w:spacing w:after="120"/>
      </w:pPr>
      <w:r>
        <w:t>SECTION: 8.6. Exception Handling</w:t>
      </w:r>
    </w:p>
    <w:p>
      <w:pPr>
        <w:spacing w:after="120"/>
      </w:pPr>
      <w:r>
        <w:t xml:space="preserve">The global class will implement a structured exception handling framework to ensure robust and predictable processing across all business logic stages. Exceptions will be categorized as follows: </w:t>
      </w:r>
    </w:p>
    <w:p>
      <w:pPr>
        <w:spacing w:after="120"/>
      </w:pPr>
      <w:r>
        <w:t>- Application-specific exceptions, raised for violations of business rules or validation failures.</w:t>
        <w:br/>
        <w:t>- System exceptions, triggered by technical issues such as database access errors, communication failures, or system resource constraints.</w:t>
        <w:br/>
        <w:t>- Data integrity exceptions, raised in response to inconsistent, incomplete, or invalid input data conditions.</w:t>
      </w:r>
    </w:p>
    <w:p>
      <w:pPr>
        <w:spacing w:after="120"/>
      </w:pPr>
      <w:r>
        <w:t xml:space="preserve">Exception handling will be managed using standard SAP exception mechanisms, including the raising and propagation of custom exception classes where appropriate. Each method will include explicit exception definitions, and all calling contexts will implement catch and handling logic to ensure graceful error responses. Logging methods will capture details of all exceptions to support traceability and facilitate troubleshooting. Recovery and mitigation steps—such as rolling back transactions or triggering error notifications—will be defined in accordance with business and technical requirements. </w:t>
      </w:r>
    </w:p>
    <w:p>
      <w:pPr>
        <w:spacing w:after="120"/>
      </w:pPr>
      <w:r>
        <w:t>Detailed exception definitions and response procedures will be finalized upon completion of the detailed technical specification.</w:t>
      </w:r>
    </w:p>
    <w:p/>
    <w:p>
      <w:pPr>
        <w:pStyle w:val="Heading1"/>
      </w:pPr>
      <w:r>
        <w:rPr>
          <w:b/>
          <w:color w:val="2F5496"/>
          <w:sz w:val="32"/>
        </w:rPr>
        <w:t>SECTION: 8.7. Benefits of Class Design</w:t>
      </w:r>
    </w:p>
    <w:p>
      <w:pPr>
        <w:spacing w:after="120"/>
      </w:pPr>
      <w:r>
        <w:t>SECTION: 8.7. Benefits of Class Design</w:t>
      </w:r>
    </w:p>
    <w:p>
      <w:pPr>
        <w:spacing w:after="120"/>
      </w:pPr>
      <w:r>
        <w:t xml:space="preserve">The class design embodies key object-oriented principles, delivering significant benefits in terms of encapsulation, reusability, maintainability, and extensibility. Business logic is compartmentalized within method groups that clearly separate concerns such as initialization, data retrieval, validation, processing, logging, and output. This encapsulation enables changes to one aspect of processing without unintended impact on others. </w:t>
      </w:r>
    </w:p>
    <w:p>
      <w:pPr>
        <w:spacing w:after="120"/>
      </w:pPr>
      <w:r>
        <w:t>The global class structure facilitates reuse across various report and application contexts, reducing code duplication and promoting standardized business logic implementation. Maintenance is streamlined due to modular design and well-defined method interfaces, allowing for targeted enhancements and simplified troubleshooting. Furthermore, the class can be readily extended to incorporate additional processing stages or support evolving business requirements, minimizing disruption to existing functionality. Overall, this object-oriented approach enhances software quality, consistency, and long-term adaptability.</w:t>
      </w:r>
    </w:p>
    <w:p/>
    <w:p>
      <w:pPr>
        <w:pStyle w:val="Heading1"/>
      </w:pPr>
      <w:r>
        <w:rPr>
          <w:b/>
          <w:color w:val="2F5496"/>
          <w:sz w:val="32"/>
        </w:rPr>
        <w:t>SECTION: 9. Report Program</w:t>
      </w:r>
    </w:p>
    <w:p>
      <w:pPr>
        <w:spacing w:after="120"/>
      </w:pPr>
      <w:r>
        <w:t>SECTION: 9. Report Program</w:t>
      </w:r>
    </w:p>
    <w:p>
      <w:pPr>
        <w:spacing w:after="120"/>
      </w:pPr>
      <w:r>
        <w:t>The report program serves as the central driver for orchestrating the end-to-end business process as defined by the functional requirements. Upon execution, the report initializes the global class responsible for encapsulating all critical business logic. This includes the preparation of processing context, retrieval of necessary data, enforcement of business rules through validation, and execution of core processing activities. The report program coordinates the invocation of class methods in an organized sequence to ensure data integrity, generate required outputs, and handle exceptions systematically.</w:t>
      </w:r>
    </w:p>
    <w:p>
      <w:pPr>
        <w:spacing w:after="120"/>
      </w:pPr>
      <w:r>
        <w:t>During processing, the report also manages event logging and error handling, ensuring both traceability and controlled response to expected and unexpected conditions. Output handling routines within the program provide users with clear, actionable results while maintaining compliance with transactional integrity standards. The modular structure of the report logic facilitates maintainability, focuses on reusability, and supports straightforward extension in the face of evolving business requirements. In summary, the report program acts as the operational interface between business processes and system logic, ensuring reliable, auditable, and consistent execution of the defined process flow.</w:t>
      </w:r>
    </w:p>
    <w:p/>
    <w:p>
      <w:pPr>
        <w:pStyle w:val="Heading1"/>
      </w:pPr>
      <w:r>
        <w:rPr>
          <w:b/>
          <w:color w:val="2F5496"/>
          <w:sz w:val="32"/>
        </w:rPr>
        <w:t>SECTION: 9.1. Functional Requirement</w:t>
      </w:r>
    </w:p>
    <w:p>
      <w:pPr>
        <w:spacing w:after="120"/>
      </w:pPr>
      <w:r>
        <w:t>SECTION: 9.1. Functional Requirement</w:t>
      </w:r>
    </w:p>
    <w:p>
      <w:pPr>
        <w:spacing w:after="120"/>
      </w:pPr>
      <w:r>
        <w:t>The report must enable users to execute business process closures based on user-defined selection criteria. It should provide an interactive ALV (ABAP List Viewer) interface, allowing users to review, analyze, and take action directly on result data. The solution must ensure seamless integration between selection-driven processing and ALV-based user interaction, supporting transactional closure functions in accordance with business rules.</w:t>
      </w:r>
    </w:p>
    <w:p/>
    <w:p>
      <w:pPr>
        <w:pStyle w:val="Heading1"/>
      </w:pPr>
      <w:r>
        <w:rPr>
          <w:b/>
          <w:color w:val="2F5496"/>
          <w:sz w:val="32"/>
        </w:rPr>
        <w:t>SECTION: 9.2. Data Source</w:t>
      </w:r>
    </w:p>
    <w:p>
      <w:pPr>
        <w:spacing w:after="120"/>
      </w:pPr>
      <w:r>
        <w:t xml:space="preserve">The report program utilizes a combination of standard SAP tables, custom tables, and BAPIs to support the required processing logic. The primary data sources include the EKKO (Purchasing Document Header) and EKPO (Purchasing Document Item) tables, which provide core purchasing document data. The custom table ZPO_CLOSE_LOG is used to store and track closure log entries for audit and monitoring purposes. </w:t>
      </w:r>
    </w:p>
    <w:p>
      <w:pPr>
        <w:spacing w:after="120"/>
      </w:pPr>
      <w:r>
        <w:t>For execution of business process closures, the solution relies on the standard BAPI BAPI_PO_CHANGE to apply changes to purchase orders as dictated by the business logic. Upon successful processing, changes are finalized using BAPI_TRANSACTION_COMMIT to ensure transactional integrity. This combination of tables and BAPIs enables robust, auditable, and transactional processing aligned with business requirements.</w:t>
      </w:r>
    </w:p>
    <w:p/>
    <w:p>
      <w:pPr>
        <w:pStyle w:val="Heading1"/>
      </w:pPr>
      <w:r>
        <w:rPr>
          <w:b/>
          <w:color w:val="2F5496"/>
          <w:sz w:val="32"/>
        </w:rPr>
        <w:t>SECTION: 9.3. Technical Architecture (Key Logic)</w:t>
      </w:r>
    </w:p>
    <w:p>
      <w:pPr>
        <w:spacing w:after="120"/>
      </w:pPr>
      <w:r>
        <w:t>SECTION: 9.3. Technical Architecture (Key Logic)</w:t>
      </w:r>
    </w:p>
    <w:p>
      <w:pPr>
        <w:spacing w:after="120"/>
      </w:pPr>
      <w:r>
        <w:t>The report program architecture is composed of several structured processing blocks, each responsible for a distinct aspect of end-to-end execution:</w:t>
      </w:r>
    </w:p>
    <w:p>
      <w:pPr>
        <w:spacing w:after="120"/>
      </w:pPr>
      <w:r>
        <w:t>- **Selection Screen**: The report initializes with a parameter-driven selection screen, allowing users to specify criteria for the business process closure. These parameters guide subsequent data retrieval and filtering throughout the process.</w:t>
      </w:r>
    </w:p>
    <w:p>
      <w:pPr>
        <w:spacing w:after="120"/>
      </w:pPr>
      <w:r>
        <w:t>- **Processing Logic**: Upon execution, the program invokes the global business logic class, which performs the following steps:</w:t>
        <w:br/>
        <w:t xml:space="preserve">  - Prepares the processing context.</w:t>
        <w:br/>
        <w:t xml:space="preserve">  - Retrieves relevant purchasing document data from standard tables (EKKO, EKPO).</w:t>
        <w:br/>
        <w:t xml:space="preserve">  - Validates retrieved data against business rules.</w:t>
        <w:br/>
        <w:t xml:space="preserve">  - Executes closure actions on eligible documents using BAPI_PO_CHANGE, transactionally secured via BAPI_TRANSACTION_COMMIT.</w:t>
        <w:br/>
        <w:t xml:space="preserve">  - Logs all closure activities and exceptions in the custom ZPO_CLOSE_LOG table for auditability.</w:t>
      </w:r>
    </w:p>
    <w:p>
      <w:pPr>
        <w:spacing w:after="120"/>
      </w:pPr>
      <w:r>
        <w:t>- **ALV Output**: Processed data and results are presented through an interactive ALV (ABAP List Viewer) interface. Users can review, analyze, and initiate follow-up actions on the result set directly within the ALV grid, ensuring actionable and transparent output.</w:t>
      </w:r>
    </w:p>
    <w:p>
      <w:pPr>
        <w:spacing w:after="120"/>
      </w:pPr>
      <w:r>
        <w:t>- **Includes and Modularity**: The program leverages modular include files to encapsulate reusable routines for selection handling, processing logic, and ALV output configuration. This design enhances maintainability, code reusability, and supports straightforward extensibility in line with evolving requirements.</w:t>
      </w:r>
    </w:p>
    <w:p>
      <w:pPr>
        <w:spacing w:after="120"/>
      </w:pPr>
      <w:r>
        <w:t>This structured technical architecture ensures that data processing is robust, auditable, and fully aligned with business and transactional integrity needs.</w:t>
      </w:r>
    </w:p>
    <w:p/>
    <w:p>
      <w:pPr>
        <w:pStyle w:val="Heading1"/>
      </w:pPr>
      <w:r>
        <w:rPr>
          <w:b/>
          <w:color w:val="2F5496"/>
          <w:sz w:val="32"/>
        </w:rPr>
        <w:t>SECTION: 9.3.a Selection Screen</w:t>
      </w:r>
    </w:p>
    <w:p>
      <w:pPr>
        <w:spacing w:after="120"/>
      </w:pPr>
      <w:r>
        <w:t>SECTION: 9.3.a Selection Screen</w:t>
      </w:r>
    </w:p>
    <w:p>
      <w:pPr>
        <w:spacing w:after="120"/>
      </w:pPr>
      <w:r>
        <w:t>The selection screen comprises a set of user-input fields designed to define the processing scope for business process closures. Users can enter selection criteria such as purchasing document number, company code, purchasing organization, document type, and date range. Default values may be provided for commonly used criteria to streamline user input while maintaining flexibility. Additionally, a “Simulate” checkbox is available, enabling users to execute the report in simulation mode—this mode allows users to preview the impact of proposed closures without performing actual updates or committing changes to the database. This functionality supports controlled testing and validation of closure scenarios prior to execution. All user entries on the selection screen serve as input parameters, guiding the program’s data retrieval, filtering, and processing behavior throughout the report lifecycle.</w:t>
      </w:r>
    </w:p>
    <w:p/>
    <w:p>
      <w:pPr>
        <w:pStyle w:val="Heading1"/>
      </w:pPr>
      <w:r>
        <w:rPr>
          <w:b/>
          <w:color w:val="2F5496"/>
          <w:sz w:val="32"/>
        </w:rPr>
        <w:t>SECTION: 9.3.b Processing Logic</w:t>
      </w:r>
    </w:p>
    <w:p>
      <w:pPr>
        <w:spacing w:after="120"/>
      </w:pPr>
      <w:r>
        <w:t>SECTION: 9.3.b Processing Logic</w:t>
      </w:r>
    </w:p>
    <w:p>
      <w:pPr>
        <w:spacing w:after="120"/>
      </w:pPr>
      <w:r>
        <w:t>At runtime, the report program executes a structured sequence of processing steps aligned with business requirements for purchase order closure. Initially, it retrieves purchasing document data from standard SAP tables (EKKO and EKPO) based on user-defined selection parameters. For each relevant document, the program computes the open quantity, determining whether a purchase order item remains partially or fully open. Subsequently, the retrieved data is validated against defined business rules to ensure only eligible documents proceed to the closure phase.</w:t>
      </w:r>
    </w:p>
    <w:p>
      <w:pPr>
        <w:spacing w:after="120"/>
      </w:pPr>
      <w:r>
        <w:t>For qualifying documents, the program invokes the standard BAPI BAPI_PO_CHANGE to perform the required closure actions. Upon successful execution of the BAPI, changes are finalized and database consistency ensured through BAPI_TRANSACTION_COMMIT. All closure actions and any encountered exceptions are meticulously recorded in the custom table ZPO_CLOSE_LOG to provide a complete audit trail for monitoring and compliance purposes. This processing logic ensures robust, transactional, and auditable execution of business process closures.</w:t>
      </w:r>
    </w:p>
    <w:p/>
    <w:p>
      <w:pPr>
        <w:pStyle w:val="Heading1"/>
      </w:pPr>
      <w:r>
        <w:rPr>
          <w:b/>
          <w:color w:val="2F5496"/>
          <w:sz w:val="32"/>
        </w:rPr>
        <w:t>SECTION: 9.3.c ALV Output Columns</w:t>
      </w:r>
    </w:p>
    <w:p>
      <w:pPr>
        <w:spacing w:after="120"/>
      </w:pPr>
      <w:r>
        <w:t>The ALV (ABAP List Viewer) output for the report displays the processing results in a structured, interactive grid. Each row corresponds to a processed purchase order item impacted by the closure process. The key output columns typically include:</w:t>
      </w:r>
    </w:p>
    <w:p>
      <w:pPr>
        <w:spacing w:after="120"/>
      </w:pPr>
      <w:r>
        <w:t>- **Purchasing Document Number**: Displays the unique identifier for the purchase order being processed.</w:t>
        <w:br/>
        <w:t>- **Item Number**: Indicates the specific item within the purchasing document.</w:t>
        <w:br/>
        <w:t>- **Company Code**: Identifies the company code associated with the purchase order.</w:t>
        <w:br/>
        <w:t>- **Purchasing Organization**: Shows the organizational unit responsible for the purchase.</w:t>
        <w:br/>
        <w:t>- **Document Type**: Specifies the type of purchasing document.</w:t>
        <w:br/>
        <w:t>- **Open Quantity**: Presents the remaining quantity for the item prior to closure.</w:t>
        <w:br/>
        <w:t>- **Closure Action**: Describes the action determined for the item (e.g., “Closed”, “No Action Required”).</w:t>
        <w:br/>
        <w:t>- **Status Message**: Provides a detailed outcome for each item, such as successful closure confirmation or a descriptive error message if the closure failed.</w:t>
        <w:br/>
        <w:t>- **Select**: Users can select individual or multiple rows to perform or simulate follow-up actions, including mass processing or export of results.</w:t>
      </w:r>
    </w:p>
    <w:p>
      <w:pPr>
        <w:spacing w:after="120"/>
      </w:pPr>
      <w:r>
        <w:t>The ALV grid supports dynamic selection and enables users to filter, sort, and analyze results efficiently. Status messages facilitate rapid identification of processing issues and confirmation of successful transactions. The inclusion of both actionable selection and clear status feedback enhances user experience and control over the closure process.</w:t>
      </w:r>
    </w:p>
    <w:p/>
    <w:p>
      <w:pPr>
        <w:pStyle w:val="Heading1"/>
      </w:pPr>
      <w:r>
        <w:rPr>
          <w:b/>
          <w:color w:val="2F5496"/>
          <w:sz w:val="32"/>
        </w:rPr>
        <w:t>SECTION: 9.3.d Include Programs</w:t>
      </w:r>
    </w:p>
    <w:p>
      <w:pPr>
        <w:spacing w:after="120"/>
      </w:pPr>
      <w:r>
        <w:t>The report leverages several ABAP include programs to modularize functionality and promote maintainability. The TOP include defines global data declarations and type definitions used throughout the report. The SEL include encapsulates logic and layout for the selection screen, structuring all user entry fields and processing selection validation. The F01 include contains form routines responsible for main business processing, including data retrieval, validation, and interaction with the BAPI and custom logging. The ALV include provides routines for constructing and managing the ALV (ABAP List Viewer) output, ensuring consistent formatting and interactive result display for end users. Each include fulfills a distinct role in supporting a robust and organized report architecture.</w:t>
      </w:r>
    </w:p>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r>
      <w:t xml:space="preserve"> of </w:t>
    </w:r>
    <w: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