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  <w:spacing w:after="100" w:line="276" w:lineRule="auto"/>
        <w:widowControl/>
        <w:keepNext/>
      </w:pPr>
      <w:r>
        <w:t>КОНЦЕПЦИЯ МАГИСТЕРСКОЙ ДИССЕРТАЦИИ</w:t>
      </w:r>
    </w:p>
    <w:p>
      <w:pPr>
        <w:pStyle w:val="Subtitle"/>
        <w:jc w:val="left"/>
        <w:spacing w:after="100" w:line="276" w:lineRule="auto"/>
        <w:widowControl/>
        <w:keepNext/>
      </w:pPr>
      <w:r>
        <w:t>Разработка и исследование GPU-ускоренной подсистемы интерактивного трёхмерного кругового обзора автомобиля на основе параметрической проекционной поверхности</w:t>
      </w:r>
    </w:p>
    <w:p>
      <w:pPr>
        <w:jc w:val="left"/>
        <w:spacing w:after="100" w:line="276" w:lineRule="auto"/>
        <w:widowControl/>
      </w:pPr>
      <w:r>
        <w:t>Направление: автомобильные программные системы / компьютерная графика / GPU-ускорение.</w:t>
      </w:r>
    </w:p>
    <w:p>
      <w:pPr>
        <w:jc w:val="left"/>
        <w:spacing w:after="100" w:line="276" w:lineRule="auto"/>
        <w:widowControl/>
      </w:pPr>
      <w:r>
        <w:t>Рабочая редакция от 19 сентября 2026 года по документу «Аудит и план 3D Surround View». Постановка и критерии предназначены для обсуждения с научным руководителем. Реализация, аппаратура и экспериментальные результаты этой редакцией не подтверждаются.</w:t>
      </w:r>
    </w:p>
    <w:p>
      <w:pPr>
        <w:pStyle w:val="Heading1"/>
        <w:jc w:val="left"/>
        <w:spacing w:after="100" w:line="276" w:lineRule="auto"/>
        <w:widowControl/>
        <w:keepNext/>
      </w:pPr>
      <w:r>
        <w:t>1. Проблема и ограничения известных решений</w:t>
      </w:r>
    </w:p>
    <w:p>
      <w:pPr>
        <w:jc w:val="left"/>
        <w:spacing w:after="100" w:line="276" w:lineRule="auto"/>
        <w:widowControl/>
      </w:pPr>
      <w:r>
        <w:t>Система проекционного 3D Surround View отображает изображения четырёх широкоугольных физических камер на условную трёхмерную поверхность и формирует вид из положения виртуальной камеры. Подбор поверхности и её сеточного представления влияет на ошибку отображения и стоимость рендеринга. Требуется количественно оценить этот компромисс для нескольких конфигураций автомобиля и камер.</w:t>
      </w:r>
    </w:p>
    <w:p>
      <w:pPr>
        <w:jc w:val="left"/>
        <w:spacing w:after="100" w:line="276" w:lineRule="auto"/>
        <w:widowControl/>
      </w:pPr>
      <w:r>
        <w:t>Bowl-поверхность, GPU-рендеринг, изменяемый виртуальный ракурс и предварительные таблицы отображения уже описаны в решении Texas Instruments 2015 года [1, с. 9–13]. В TI Vision Apps разделены подготовка LUT и обработка входов [2]. Поэтому сами по себе эти функции, конфигурируемость и разделение предварительных и покадровых вычислений не обосновывают научную новизну. Это сопоставление с ближайшими рассмотренными аналогами, а не завершённый обзор публикаций.</w:t>
      </w:r>
    </w:p>
    <w:p>
      <w:pPr>
        <w:jc w:val="left"/>
        <w:spacing w:after="100" w:line="276" w:lineRule="auto"/>
        <w:widowControl/>
      </w:pPr>
      <w:r>
        <w:t>Условная поверхность не является восстановленной геометрией окружения. Смена ракурса не восстанавливает скрытые стороны препятствий. Вертикальные объекты могут растягиваться, смещаться и двоиться в перекрытиях. В работе используется интерактивное изменение ракурса в заданной допустимой области; неограниченное произвольное перемещение наблюдателя не заявляется.</w:t>
      </w:r>
    </w:p>
    <w:p>
      <w:pPr>
        <w:pStyle w:val="Heading1"/>
        <w:jc w:val="left"/>
        <w:spacing w:after="100" w:line="276" w:lineRule="auto"/>
        <w:widowControl/>
        <w:keepNext/>
      </w:pPr>
      <w:r>
        <w:t>2. Цель работы</w:t>
      </w:r>
    </w:p>
    <w:p>
      <w:pPr>
        <w:jc w:val="left"/>
        <w:spacing w:after="100" w:line="276" w:lineRule="auto"/>
        <w:widowControl/>
      </w:pPr>
      <w:r>
        <w:t>Разработать подсистему интерактивной визуализации кругового обзора по изображениям четырёх fisheye-камер и экспериментально определить влияние формы и дискретизации проекционной поверхности на точность отображения, время рендеринга и задержку изменения виртуального ракурса на выбранной вычислительной платформе.</w:t>
      </w:r>
    </w:p>
    <w:p>
      <w:pPr>
        <w:pStyle w:val="Heading1"/>
        <w:jc w:val="left"/>
        <w:spacing w:after="100" w:line="276" w:lineRule="auto"/>
        <w:widowControl/>
        <w:keepNext/>
      </w:pPr>
      <w:r>
        <w:t>3. Объект и предмет исследования</w:t>
      </w:r>
    </w:p>
    <w:p>
      <w:pPr>
        <w:jc w:val="left"/>
        <w:spacing w:after="100" w:line="276" w:lineRule="auto"/>
        <w:widowControl/>
      </w:pPr>
      <w:r>
        <w:t>Объект — процесс формирования интерактивного визуального представления окружения автомобиля по данным многокамерной системы.</w:t>
      </w:r>
    </w:p>
    <w:p>
      <w:pPr>
        <w:jc w:val="left"/>
        <w:spacing w:after="100" w:line="276" w:lineRule="auto"/>
        <w:widowControl/>
      </w:pPr>
      <w:r>
        <w:t>Предмет — параметрические модели проекционной поверхности, способы её дискретизации и GPU-отображения изображений физических камер, влияющие на геометрическую точность и быстродействие интерактивного кругового обзора.</w:t>
      </w:r>
    </w:p>
    <w:p>
      <w:pPr>
        <w:pStyle w:val="Heading1"/>
        <w:jc w:val="left"/>
        <w:spacing w:after="100" w:line="276" w:lineRule="auto"/>
        <w:widowControl/>
        <w:keepNext/>
      </w:pPr>
      <w:r>
        <w:t>4. Исследовательский вопрос и гипотеза</w:t>
      </w:r>
    </w:p>
    <w:p>
      <w:pPr>
        <w:jc w:val="left"/>
        <w:spacing w:after="100" w:line="276" w:lineRule="auto"/>
        <w:widowControl/>
      </w:pPr>
      <w:r>
        <w:t>Исследовательский вопрос: как выбирать дискретизацию параметрической bowl-поверхности для заданного расположения физических камер и диапазона виртуальных ракурсов, чтобы ограничивать численно оценённую ошибку отображения при заданном бюджете GPU-времени?</w:t>
      </w:r>
    </w:p>
    <w:p>
      <w:pPr>
        <w:jc w:val="left"/>
        <w:spacing w:after="100" w:line="276" w:lineRule="auto"/>
        <w:widowControl/>
      </w:pPr>
      <w:r>
        <w:t>Проверяемая гипотеза: при одинаковом численно проверенном пределе ошибки проекции статическая сетка, учитывающая конфигурацию камер, может требовать меньше треугольников либо меньше GPU-времени, чем равномерная сетка. Форму поверхности задаёт конфигурация; критерий ошибки определяет плотность сетки при подготовке. Восстановление глубины и динамическая перестройка формы по видео для этого не требуются.</w:t>
      </w:r>
    </w:p>
    <w:p>
      <w:pPr>
        <w:jc w:val="left"/>
        <w:spacing w:after="100" w:line="276" w:lineRule="auto"/>
        <w:widowControl/>
      </w:pPr>
      <w:r>
        <w:t>Число треугольников и время GPU оцениваются отдельно: если доминирует фрагментная стадия, уменьшение сетки может не ускорить рендер. Отсутствие выигрыша является допустимым результатом при корректной методике и ограниченных выводах.</w:t>
      </w:r>
    </w:p>
    <w:p>
      <w:pPr>
        <w:pStyle w:val="Heading1"/>
        <w:jc w:val="left"/>
        <w:spacing w:after="100" w:line="276" w:lineRule="auto"/>
        <w:widowControl/>
        <w:keepNext/>
      </w:pPr>
      <w:r>
        <w:t>5. Задачи исследования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3"/>
        </w:numPr>
        <w:ind w:left="480" w:hanging="480"/>
      </w:pPr>
      <w:r>
        <w:t>Проанализировать близкие решения Surround View, проекционные поверхности и способы дискретизации; уточнить сравнимый baseline, границы и возможное отличие предлагаемой методики.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3"/>
        </w:numPr>
        <w:ind w:left="480" w:hanging="480"/>
      </w:pPr>
      <w:r>
        <w:t>Определить математическую модель камеры и поверхности, координатные соглашения, область применимости и метрики; подготовить данные и независимый CPU-эталон.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3"/>
        </w:numPr>
        <w:ind w:left="480" w:hanging="480"/>
      </w:pPr>
      <w:r>
        <w:t>Реализовать базовый GPU-конвейер четырёх камер с равномерной bowl-сеткой, валидностью, нормализованным смешиванием и виртуальной камерой.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3"/>
        </w:numPr>
        <w:ind w:left="480" w:hanging="480"/>
      </w:pPr>
      <w:r>
        <w:t>Реализовать статическую дискретизацию по оценке ошибки проекции и экранной аппроксимации, ограничения ресурсов и сравнение с равномерными сетками.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3"/>
        </w:numPr>
        <w:ind w:left="480" w:hanging="480"/>
      </w:pPr>
      <w:r>
        <w:t>Создать минимальный интерактивный стенд: отдельный сервер, Qt Quick (QML), локальный replay, лёгкий producer и диагностику неисправностей.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3"/>
        </w:numPr>
        <w:ind w:left="480" w:hanging="480"/>
      </w:pPr>
      <w:r>
        <w:t>Провести воспроизводимые сравнительные эксперименты, оценить точность, стоимость, отклик и ограничения; сформулировать выводы по гипотезе.</w:t>
      </w:r>
    </w:p>
    <w:p>
      <w:pPr>
        <w:pStyle w:val="Heading1"/>
        <w:jc w:val="left"/>
        <w:spacing w:after="100" w:line="276" w:lineRule="auto"/>
        <w:widowControl/>
        <w:keepNext/>
      </w:pPr>
      <w:r>
        <w:t>6. Планируемый вклад и практическая значимость</w:t>
      </w:r>
    </w:p>
    <w:p>
      <w:pPr>
        <w:jc w:val="left"/>
        <w:spacing w:after="100" w:line="276" w:lineRule="auto"/>
        <w:widowControl/>
      </w:pPr>
      <w:r>
        <w:t>Предполагаемый вклад — методика выбора дискретизации по заданному пределу ошибки проекции, её реализация и экспериментальная оценка относительно равномерной сетки. Адаптивная дискретизация известна в компьютерной графике. Формулировка о собственном методе остаётся предварительной до обзора близких работ по Surround View и установления отличий критерия, ограничений либо процедуры.</w:t>
      </w:r>
    </w:p>
    <w:p>
      <w:pPr>
        <w:jc w:val="left"/>
        <w:spacing w:after="100" w:line="276" w:lineRule="auto"/>
        <w:widowControl/>
      </w:pPr>
      <w:r>
        <w:t>Если отличия не подтверждаются, работа оформляется как сравнительное исследование и инженерная реализация с количественными выводами. Формулировки о разработанных и доказанных улучшениях применяются только после получения результатов.</w:t>
      </w:r>
    </w:p>
    <w:p>
      <w:pPr>
        <w:jc w:val="left"/>
        <w:spacing w:after="100" w:line="276" w:lineRule="auto"/>
        <w:widowControl/>
      </w:pPr>
      <w:r>
        <w:t>Практическая значимость — общее программное ядро, воспроизводимые наборы экспериментов, конфигурации нескольких камерных установок и интеграция с интерфейсом отображения. Один бинарный файл должен обрабатывать минимум три конфигурации автомобиля/камер без изменения исходного кода.</w:t>
      </w:r>
    </w:p>
    <w:p>
      <w:pPr>
        <w:pStyle w:val="Heading1"/>
        <w:jc w:val="left"/>
        <w:spacing w:after="100" w:line="276" w:lineRule="auto"/>
        <w:widowControl/>
        <w:keepNext/>
      </w:pPr>
      <w:r>
        <w:t>7. Математическая модель и исследуемый способ</w:t>
      </w:r>
    </w:p>
    <w:p>
      <w:pPr>
        <w:jc w:val="left"/>
        <w:spacing w:after="100" w:line="276" w:lineRule="auto"/>
        <w:widowControl/>
      </w:pPr>
      <w:r>
        <w:t>Система автомобиля правая: X вперёд, Y влево, Z вверх, начало в центре следа автомобиля на земле. Система физической камеры: X вправо, Y вниз, Z вдоль оптической оси. Используются метры, радианы и векторы-столбцы. Матрица T_camera_from_vehicle однозначно переводит точку автомобиля в камеру. Полные формулы и порядок преобразований зафиксированы в COORDINATE_SYSTEMS.md.</w:t>
      </w:r>
    </w:p>
    <w:p>
      <w:pPr>
        <w:jc w:val="left"/>
        <w:spacing w:after="100" w:line="276" w:lineRule="auto"/>
        <w:widowControl/>
      </w:pPr>
      <w:r>
        <w:t>Выбрана модель opencv_fisheye с fx, fy, cx, cy, k1–k4 и нулевым skew [3]. MVP ограничивает используемые направления передней полусферой с углом меньше π/2. Разрешение калибровки, правила resize/crop и маски валидности задаются явно. Калибровка является входным условием: требуются происхождение, остаточная ошибка и независимые проверочные наблюдения; универсальный калибровщик не входит в объём.</w:t>
      </w:r>
    </w:p>
    <w:p>
      <w:pPr>
        <w:jc w:val="left"/>
        <w:spacing w:after="100" w:line="276" w:lineRule="auto"/>
        <w:widowControl/>
      </w:pPr>
      <w:r>
        <w:t>Исходная bowl — поверхность S(u,v)=(u,v,H·(dx²+dy²)/2), где dx=max(|u|−a,0)/(A−a), dy=max(|v|−b,0)/(B−b), u∈[−A,A], v∈[−B,B], A&gt;a&gt;0, B&gt;b&gt;0 и H≥0. В центре поверхность плоская, переход непрерывен с непрерывной первой производной; H задаёт высоту углов. Габариты автомобиля определяют маску и допустимую плоскую область. Камеры определяют отображения, покрытие и критерий сетки, но не автоматически меняют аналитическую форму.</w:t>
      </w:r>
    </w:p>
    <w:p>
      <w:pPr>
        <w:jc w:val="left"/>
        <w:spacing w:after="100" w:line="276" w:lineRule="auto"/>
        <w:widowControl/>
      </w:pPr>
      <w:r>
        <w:t>Для ячеек сетки сравниваются точные проекции промежуточных точек аналитической поверхности и интерполированные UV; дополнительно оценивается экранная ошибка на заданных виртуальных ракурсах. Превышение допуска вызывает согласованное подразделение без трещин и T-стыков. Переходы валидности обрабатываются отдельно. Глубина и число треугольников ограничены; при несовместимых бюджетах выдаётся диагностируемое нарушение. Проверка конечного числа проб не является доказательством глобальной верхней границы ошибки.</w:t>
      </w:r>
    </w:p>
    <w:p>
      <w:pPr>
        <w:jc w:val="left"/>
        <w:spacing w:after="100" w:line="276" w:lineRule="auto"/>
        <w:widowControl/>
      </w:pPr>
      <w:r>
        <w:t>В смешивание входят только валидные и доступные камеры. При положительной сумме весов они нормируются; при сумме ниже epsilon формируется маска «нет данных». После отказа камеры оставшиеся веса перенормируются. Покрытие заранее выбранной ROI и фотометрический шов измеряются отдельно; отсутствие дыр и швов при любом размещении камер не обещается.</w:t>
      </w:r>
    </w:p>
    <w:p>
      <w:pPr>
        <w:pStyle w:val="Heading1"/>
        <w:jc w:val="left"/>
        <w:spacing w:after="100" w:line="276" w:lineRule="auto"/>
        <w:widowControl/>
        <w:keepNext/>
      </w:pPr>
      <w:r>
        <w:t>8. Архитектура и интерактивность</w:t>
      </w:r>
    </w:p>
    <w:p>
      <w:pPr>
        <w:jc w:val="left"/>
        <w:spacing w:after="100" w:line="276" w:lineRule="auto"/>
        <w:widowControl/>
      </w:pPr>
      <w:r>
        <w:t>Принятый стек: C++20, Linux, CMake; исходный профиль OpenGL 3.3 Core/GLSL 330 через EGL; Qt 5.15, Qt Quick (QML) и Qt Quick Controls 2 для интерфейса [4]. Поддержка конкретного GPU и headless backend проверяется в начале работы. Если аппаратура требует OpenGL ES, до GPU-реализации фиксируется один новый профиль через ADR; параллельное освоение нескольких API не входит в обязательный объём.</w:t>
      </w:r>
    </w:p>
    <w:p>
      <w:pPr>
        <w:jc w:val="left"/>
        <w:spacing w:after="100" w:line="276" w:lineRule="auto"/>
        <w:widowControl/>
      </w:pPr>
      <w:r>
        <w:t>Библиотека sv-core не зависит от Qt и транспорта. Она содержит математические модели, геометрию, отображения и renderer. sv-server размещает ядро в отдельном процессе, владеет наборами кадров и виртуальной камерой. sv-bench запускает то же ядро на локальных данных. sv-ui отображает готовое изображение через Qt Quick scene graph, передаёт жесты и пишет собственные события. sv-simulator в обязательной версии подаёт известные данные и неисправности.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4"/>
        </w:numPr>
        <w:ind w:left="480" w:hanging="480"/>
      </w:pPr>
      <w:r>
        <w:t>При загрузке конфигурации проверить параметры, построить поверхность и сетку, подготовить UV, маски, веса и GPU-ресурсы.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4"/>
        </w:numPr>
        <w:ind w:left="480" w:hanging="480"/>
      </w:pPr>
      <w:r>
        <w:t>Для нового набора подобрать кадры с известным возрастом и skew, загрузить изменившиеся входы и обновить маски доступности.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4"/>
        </w:numPr>
        <w:ind w:left="480" w:hanging="480"/>
      </w:pPr>
      <w:r>
        <w:t>Выполнить на GPU выборку, смешивание и рисование поверхности с текущей виртуальной камерой в итоговый FBO.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4"/>
        </w:numPr>
        <w:ind w:left="480" w:hanging="480"/>
      </w:pPr>
      <w:r>
        <w:t>Передать итоговый кадр через ограниченный выходной адаптер в Qt Quick (QML), сохранив frame_set_id, frame_id и state_revision.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4"/>
        </w:numPr>
        <w:ind w:left="480" w:hanging="480"/>
      </w:pPr>
      <w:r>
        <w:t>При orbit/zoom/preset изменить серверное состояние, использовать прежние входные текстуры и геометрию, сформировать новый выходной вид и связать его с command_id.</w:t>
      </w:r>
    </w:p>
    <w:p>
      <w:pPr>
        <w:jc w:val="left"/>
        <w:spacing w:after="100" w:line="276" w:lineRule="auto"/>
        <w:widowControl/>
      </w:pPr>
      <w:r>
        <w:t>Таким образом, жест не требует повторного чтения, декодирования или upload неизменившихся входов, построения сетки и калибровки. Новый выходной кадр при этом рендерится GPU. Обязательны orbit, zoom и пресеты с ограничениями наклона/дистанции и запретом входа в автомобиль или под поверхность; pan относится к расширениям.</w:t>
      </w:r>
    </w:p>
    <w:p>
      <w:pPr>
        <w:jc w:val="left"/>
        <w:spacing w:after="100" w:line="276" w:lineRule="auto"/>
        <w:widowControl/>
      </w:pPr>
      <w:r>
        <w:t>Первый выходной адаптер допускает readback итогового FBO, копирование через локальный IPC и upload в UI. Внутренние GPU-проходы не требуют full-frame readback. Стоимость выхода измеряется отдельно и входит в сквозную задержку. Номер OpenGL-текстуры не является межпроцессным контрактом; DMA-BUF рассматривается только при измеренном ограничении.</w:t>
      </w:r>
    </w:p>
    <w:p>
      <w:pPr>
        <w:jc w:val="left"/>
        <w:spacing w:after="100" w:line="276" w:lineRule="auto"/>
        <w:widowControl/>
      </w:pPr>
      <w:r>
        <w:t>Основной профиль использует один Linux-узел и единый CLOCK_MONOTONIC. Монотонные часы разных компьютеров имеют разные начала [5]; распределённый опыт требует преобразования времени и оценки погрешности. Replay сохраняет время сценария и отображает его в текущую шкалу исполнения, включая паузу и шаг. Устаревшие live-входы исключаются, их потеря меняет покрытие и статус, а рендер и команды продолжаются.</w:t>
      </w:r>
    </w:p>
    <w:p>
      <w:pPr>
        <w:pStyle w:val="Heading1"/>
        <w:jc w:val="left"/>
        <w:spacing w:after="100" w:line="276" w:lineRule="auto"/>
        <w:widowControl/>
        <w:keepNext/>
      </w:pPr>
      <w:r>
        <w:t>9. Экспериментальная оценка</w:t>
      </w:r>
    </w:p>
    <w:p>
      <w:pPr>
        <w:jc w:val="left"/>
        <w:spacing w:after="100" w:line="276" w:lineRule="auto"/>
        <w:widowControl/>
      </w:pPr>
      <w:r>
        <w:t>Сравниваются плоская поверхность, обычная bowl с равномерными сетками разных плотностей, та же bowl с исследуемой сеткой и плотная сетка либо прямая проекция как численный ориентир. Для главного сравнения совпадают изображения, форма, калибровка, blending, разрешения и GPU-проход. Отдельно исследуется влияние формы при достаточной точности дискретизации.</w:t>
      </w:r>
    </w:p>
    <w:p>
      <w:pPr>
        <w:jc w:val="left"/>
        <w:spacing w:after="100" w:line="276" w:lineRule="auto"/>
        <w:widowControl/>
      </w:pPr>
      <w:r>
        <w:t>Материалы: аналитические сцены с известными маркерами; сцены с вертикальными объектами, движением и перекрытиями; желательно одна независимая реальная калиброванная запись. Конфигурации и точки настройки отделяются от итоговой оценки. Для каждого набора сохраняются источник, условия использования, хэши, timestamps и происхождение калибровки. Если реальных данных нет, выводы о качестве ограничиваются синтетикой.</w:t>
      </w:r>
    </w:p>
    <w:p>
      <w:pPr>
        <w:jc w:val="left"/>
        <w:spacing w:after="100" w:line="276" w:lineRule="auto"/>
        <w:widowControl/>
      </w:pPr>
      <w:r>
        <w:t>E-MATH-01 проверяет математику; E-SURFACE-01 — влияние формы и ограничения модели; E-MESH-01 — ошибку, треугольники, память, подготовку и GPU-время; E-INTERACTIVE-01 — смену ракурса на замороженных и движущихся входах; E-PERF-01 — масштабирование и полный путь до UI; E-ROBUST-01 — неисправности и чувствительность. E-REAL-01 является желательным опытом переноса на запись. Подробные сценарии определены в RESEARCH_PLAN.md.</w:t>
      </w:r>
    </w:p>
    <w:p>
      <w:pPr>
        <w:jc w:val="left"/>
        <w:spacing w:after="100" w:line="276" w:lineRule="auto"/>
        <w:widowControl/>
      </w:pPr>
      <w:r>
        <w:t>Начальный профиль — локальный replay четырёх RGB8-потоков 1280×720 при 30 FPS, выход RGBA8 1280×720. CPU/GPU, ОС, драйвер, экран, сборка и сетка фиксируются в паспорте. Четыре несжатых входа такого формата требуют 331,776 МБ/с, или 2,654208 Гбит/с полезной полосы; для канала 1 Гбит/с нужен отдельный уменьшенный или сжатый профиль с учётом его стоимости.</w:t>
      </w:r>
    </w:p>
    <w:p>
      <w:pPr>
        <w:jc w:val="left"/>
        <w:spacing w:after="100" w:line="276" w:lineRule="auto"/>
        <w:widowControl/>
      </w:pPr>
      <w:r>
        <w:t>Предварительные цели: p99 ошибки прямой GPU-проекции относительно CPU ≤0,1 пикселя входа; p99 ошибки сетки ≤0,5 пикселя входа и экрана на отложенных видах; покрытие заранее заданной физически покрываемой ROI ≥99%; p95 GPU-рендера ≤20 мс; p95 программной сквозной задержки и отклика команды ≤100 мс; пропущенные ожидаемые наборы ≤1% в десятиминутном стабильном прогоне. Все числа — проектные предложения, уточняемые по раннему baseline до итоговых сравнений. Они не являются измеренными результатами или универсальными нормативами.</w:t>
      </w:r>
    </w:p>
    <w:p>
      <w:pPr>
        <w:jc w:val="left"/>
        <w:spacing w:after="100" w:line="276" w:lineRule="auto"/>
        <w:widowControl/>
      </w:pPr>
      <w:r>
        <w:t>На замороженном PAUSED-наборе выполняются 500 команд и проверяется неизменность счётчиков decode/upload входа/mesh rebuild. UI связывает фактически использованный frame_id и ревизию с событием передачи на представление, например frameSwapped [6]. Получение пакета, ACK и физическое появление пикселя различаются; без внешнего измерителя заявляется только программная задержка.</w:t>
      </w:r>
    </w:p>
    <w:p>
      <w:pPr>
        <w:jc w:val="left"/>
        <w:spacing w:after="100" w:line="276" w:lineRule="auto"/>
        <w:widowControl/>
      </w:pPr>
      <w:r>
        <w:t>Для sweep используются прогрев 60 с и не менее трёх независимых прогонов по 180 с; выбранный эталонный режим дополнительно работает 10 мин. Публикуются p50/p95/p99, максимум, межпрогонный разброс, повторы, drops и причины потерь. CPU submission и GPU execution разделяются; timer queries считываются асинхронно. Медленный CPU-эталон проверяет правильность и не доказывает общее превосходство GPU над оптимизированным CPU.</w:t>
      </w:r>
    </w:p>
    <w:p>
      <w:pPr>
        <w:pStyle w:val="Heading1"/>
        <w:jc w:val="left"/>
        <w:spacing w:after="100" w:line="276" w:lineRule="auto"/>
        <w:widowControl/>
        <w:keepNext/>
      </w:pPr>
      <w:r>
        <w:t>10. Обязательный результат и границы</w:t>
      </w:r>
    </w:p>
    <w:p>
      <w:pPr>
        <w:jc w:val="left"/>
        <w:spacing w:after="100" w:line="276" w:lineRule="auto"/>
        <w:widowControl/>
      </w:pPr>
      <w:r>
        <w:t>Исследовательское ядро: одна точно определённая fisheye-модель, параметрическая bowl, равномерная и исследуемая дискретизация, независимый CPU-эталон, четыре GPU-входа, маски и нормализованное смешивание, ограниченная виртуальная камера и основной сравнительный эксперимент.</w:t>
      </w:r>
    </w:p>
    <w:p>
      <w:pPr>
        <w:jc w:val="left"/>
        <w:spacing w:after="100" w:line="276" w:lineRule="auto"/>
        <w:widowControl/>
      </w:pPr>
      <w:r>
        <w:t>Минимальный демонстрационный стенд: отдельные sv-server и sv-ui на Qt Quick (QML), локальный replay без simulator-процесса, лёгкий producer, измерение пути до представления, ограниченные очереди и диагностика потери камер. Чтение готового набора обязательно; собственный recorder желателен и имеет одну границу записи — нормализованные принятые входы сервера. Смена адаптера между запусками обязательна; hot-swap не требуется.</w:t>
      </w:r>
    </w:p>
    <w:p>
      <w:pPr>
        <w:jc w:val="left"/>
        <w:spacing w:after="100" w:line="276" w:lineRule="auto"/>
        <w:widowControl/>
      </w:pPr>
      <w:r>
        <w:t>Желательные интеграции — реальная запись и доступный live-адаптер, GPU-обмен при установленном узком месте, CAN/сенсор только для конкретного сценария, например выбора заднего ракурса. Полный интерактивный 3D-мир, игровая физика, pan, горячая калибровка и другой графический API являются дополнительными возможностями. Два физических компьютера и конкретное головное устройство не входят в минимальную приёмку без внешнего требования.</w:t>
      </w:r>
    </w:p>
    <w:p>
      <w:pPr>
        <w:jc w:val="left"/>
        <w:spacing w:after="100" w:line="276" w:lineRule="auto"/>
        <w:widowControl/>
      </w:pPr>
      <w:r>
        <w:t>В основную область не входят SLAM, восстановление глубины и скрытых областей, собственные нейросети, полноценная реконструкция окружения, разработка общего CAN-стека, аппаратная синхронизация и функциональная сертификация. Ограничения условной поверхности, фотометрии и синтетических данных явно включаются в выводы.</w:t>
      </w:r>
    </w:p>
    <w:p>
      <w:pPr>
        <w:pStyle w:val="Heading1"/>
        <w:jc w:val="left"/>
        <w:spacing w:after="100" w:line="276" w:lineRule="auto"/>
        <w:widowControl/>
        <w:keepNext/>
      </w:pPr>
      <w:r>
        <w:t>11. План выполнения и критерий завершения</w:t>
      </w:r>
    </w:p>
    <w:p>
      <w:pPr>
        <w:jc w:val="left"/>
        <w:spacing w:after="100" w:line="276" w:lineRule="auto"/>
        <w:widowControl/>
      </w:pPr>
      <w:r>
        <w:t>Единственный календарный план хранится в MASTER_PLAN.md: 26 недель при ориентировочной занятости 20–25 часов в неделю, включая четыре недели резерва. До GPU-разработки проверяются аппаратура, данные и CPU-модель; после четырёхкамерного baseline исследуется сетка, затем завершается интерактивный стенд и проводятся итоговые сравнения. Текст диссертации ведётся с первой недели. Конкретные даты привязываются к сроку защиты и доступу к оборудованию.</w:t>
      </w:r>
    </w:p>
    <w:p>
      <w:pPr>
        <w:jc w:val="left"/>
        <w:spacing w:after="100" w:line="276" w:lineRule="auto"/>
        <w:widowControl/>
      </w:pPr>
      <w:r>
        <w:t>Приёмка требует реализованного поведения и свидетельств по матрице VALIDATION.md: тестов, инспекции либо измерительных протоколов с фактическими значениями. Наличие тестового файла само по себе не подтверждает требование. Все параметры опыта, версии и хэши данных сохраняются. При отрицательном результате гипотезы публикуются количественные выводы и причины; расширения стенда не подменяют основной эксперимент.</w:t>
      </w:r>
    </w:p>
    <w:p>
      <w:pPr>
        <w:jc w:val="left"/>
        <w:spacing w:after="100" w:line="276" w:lineRule="auto"/>
        <w:widowControl/>
      </w:pPr>
      <w:r>
        <w:t>Связанные документы: REQUIREMENTS.md — объём и задачи R1–R6; COORDINATE_SYSTEMS.md — математика; SYSTEM_ARCHITECTURE.md — компоненты и ADR; RESEARCH_PLAN.md — программа опытов; VALIDATION.md — паспорт и матрица; requirements/ — контрактные требования компонентов. Оформление этой рабочей концепции единообразно; соответствие конкретному шаблону кафедры проверяется после получения её методических требований.</w:t>
      </w:r>
    </w:p>
    <w:p>
      <w:pPr>
        <w:pStyle w:val="Heading1"/>
        <w:jc w:val="left"/>
        <w:spacing w:after="100" w:line="276" w:lineRule="auto"/>
        <w:widowControl/>
        <w:keepNext/>
        <w:pageBreakBefore/>
      </w:pPr>
      <w:r>
        <w:t>12. Источники</w:t>
      </w:r>
    </w:p>
    <w:p>
      <w:pPr>
        <w:jc w:val="left"/>
        <w:spacing w:after="100" w:line="276" w:lineRule="auto"/>
        <w:widowControl/>
      </w:pPr>
      <w:r>
        <w:t>Библиографические описания оформлены по ГОСТ Р 7.0.100–2018 [7]. Для сетевых ресурсов указаны URL и дата обращения. Технические сведения отделены от собственных проектных решений и предварительных численных целей.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5"/>
        </w:numPr>
        <w:ind w:left="480" w:hanging="480"/>
      </w:pPr>
      <w:r>
        <w:rPr>
          <w:sz w:val="22"/>
        </w:rPr>
        <w:t>Surround view camera system for ADAS on TI’s TDAx SoCs / V. Appia, H. Hariyani, S. Sivasankaran [et al.]. – Texas Instruments, 2015. – 18 p. – SPRY270A. – URL: https://www.ti.com/lit/wp/spry270a/spry270a.pdf (дата обращения: 19.09.2026). – Текст : электронный.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5"/>
        </w:numPr>
        <w:ind w:left="480" w:hanging="480"/>
      </w:pPr>
      <w:r>
        <w:rPr>
          <w:sz w:val="22"/>
        </w:rPr>
        <w:t>3D Surround View Application / Texas Instruments. – Текст : электронный // Vision Apps User Guide. – URL: https://software-dl.ti.com/jacinto7/esd/processor-sdk-rtos-j721s2/latest/exports/docs/vision_apps/docs/user_guide/group_apps_srv_demos_app_srv_camera.html (дата обращения: 19.09.2026).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5"/>
        </w:numPr>
        <w:ind w:left="480" w:hanging="480"/>
      </w:pPr>
      <w:r>
        <w:rPr>
          <w:sz w:val="22"/>
        </w:rPr>
        <w:t>Fisheye camera model / OpenCV. – Текст : электронный // OpenCV 4.13.0 Documentation. – URL: https://docs.opencv.org/4.13.0/db/d58/group__calib3d__fisheye.html (дата обращения: 19.09.2026).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5"/>
        </w:numPr>
        <w:ind w:left="480" w:hanging="480"/>
      </w:pPr>
      <w:r>
        <w:rPr>
          <w:sz w:val="22"/>
        </w:rPr>
        <w:t>Qt Quick / The Qt Company. – Текст : электронный // Qt 5.15 Documentation. – URL: https://doc.qt.io/archives/qt-5.15/qtquick-index.html (дата обращения: 19.09.2026).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5"/>
        </w:numPr>
        <w:ind w:left="480" w:hanging="480"/>
      </w:pPr>
      <w:r>
        <w:rPr>
          <w:sz w:val="22"/>
        </w:rPr>
        <w:t>clock_gettime(3) : Linux manual page. – Текст : электронный // Linux man-pages. – URL: https://man7.org/linux/man-pages/man3/clock_gettime.3.html (дата обращения: 19.09.2026).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5"/>
        </w:numPr>
        <w:ind w:left="480" w:hanging="480"/>
      </w:pPr>
      <w:r>
        <w:rPr>
          <w:sz w:val="22"/>
        </w:rPr>
        <w:t>QQuickWindow Class / The Qt Company. – Текст : электронный // Qt Quick 5.15 Documentation. – URL: https://doc.qt.io/archives/qt-5.15/qquickwindow.html (дата обращения: 19.09.2026).</w:t>
      </w:r>
    </w:p>
    <w:p>
      <w:pPr>
        <w:pStyle w:val="ListParagraph"/>
        <w:jc w:val="left"/>
        <w:spacing w:after="100" w:line="276" w:lineRule="auto"/>
        <w:widowControl/>
        <w:numPr>
          <w:ilvl w:val="0"/>
          <w:numId w:val="15"/>
        </w:numPr>
        <w:ind w:left="480" w:hanging="480"/>
      </w:pPr>
      <w:r>
        <w:rPr>
          <w:sz w:val="22"/>
        </w:rPr>
        <w:t>ГОСТ Р 7.0.100–2018.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дата введения 2019-07-01. – Москва : Стандартинформ, 2018. – URL: https://docs.cntd.ru/document/1200161674 (дата обращения: 19.09.2026). – Текст : электронный.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0"/>
      </w:rPr>
      <w:t>Концепция магистерской диссертации — 3D Surround View</w:t>
    </w:r>
    <w:r>
      <w:rPr>
        <w:rFonts w:ascii="Times New Roman" w:hAnsi="Times New Roman" w:eastAsia="Times New Roman"/>
        <w:sz w:val="20"/>
      </w:rPr>
      <w:t xml:space="preserve">   | 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480"/>
        </w:tabs>
        <w:ind w:left="480" w:hanging="480"/>
      </w:pPr>
    </w:lvl>
  </w:abstractNum>
  <w:num w:numId="10">
    <w:abstractNumId w:val="9"/>
    <w:lvlOverride w:ilvl="0">
      <w:startOverride w:val="1"/>
    </w:lvlOverride>
  </w:num>
  <w:abstractNum w:abstractNumId="10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480"/>
        </w:tabs>
        <w:ind w:left="480" w:hanging="480"/>
      </w:pPr>
    </w:lvl>
  </w:abstractNum>
  <w:num w:numId="11">
    <w:abstractNumId w:val="10"/>
    <w:lvlOverride w:ilvl="0">
      <w:startOverride w:val="1"/>
    </w:lvlOverride>
  </w: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480"/>
        </w:tabs>
        <w:ind w:left="480" w:hanging="480"/>
      </w:pPr>
    </w:lvl>
  </w:abstractNum>
  <w:num w:numId="12">
    <w:abstractNumId w:val="11"/>
    <w:lvlOverride w:ilvl="0">
      <w:startOverride w:val="1"/>
    </w:lvlOverride>
  </w: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480"/>
        </w:tabs>
        <w:ind w:left="480" w:hanging="480"/>
      </w:pPr>
    </w:lvl>
  </w:abstractNum>
  <w:num w:numId="13">
    <w:abstractNumId w:val="12"/>
    <w:lvlOverride w:ilvl="0">
      <w:startOverride w:val="1"/>
    </w:lvlOverride>
  </w: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480"/>
        </w:tabs>
        <w:ind w:left="480" w:hanging="480"/>
      </w:pPr>
    </w:lvl>
  </w:abstractNum>
  <w:num w:numId="14">
    <w:abstractNumId w:val="13"/>
    <w:lvlOverride w:ilvl="0">
      <w:startOverride w:val="1"/>
    </w:lvlOverride>
  </w: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480"/>
        </w:tabs>
        <w:ind w:left="480" w:hanging="480"/>
      </w:pPr>
    </w:lvl>
  </w:abstractNum>
  <w:num w:numId="15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true"/>
  <w:doNotHyphenateCap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  <w:szCs w:val="24"/>
      <w:color w:val="000000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b/>
      <w:bCs/>
      <w:rFonts w:ascii="Times New Roman" w:hAnsi="Times New Roman" w:cs="Times New Roman"/>
      <w:sz w:val="28"/>
      <w:szCs w:val="28"/>
      <w:color w:val="000000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rFonts w:ascii="Times New Roman" w:hAnsi="Times New Roman" w:cs="Times New Roman"/>
      <w:sz w:val="24"/>
      <w:szCs w:val="24"/>
      <w:color w:val="000000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b/>
      <w:spacing w:val="5"/>
      <w:kern w:val="28"/>
      <w:rFonts w:ascii="Times New Roman" w:hAnsi="Times New Roman" w:cs="Times New Roman"/>
      <w:sz w:val="32"/>
      <w:szCs w:val="32"/>
      <w:color w:val="000000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/>
      <w:iCs/>
      <w:spacing w:val="15"/>
      <w:rFonts w:ascii="Times New Roman" w:hAnsi="Times New Roman" w:cs="Times New Roman"/>
      <w:sz w:val="24"/>
      <w:szCs w:val="24"/>
      <w:color w:val="000000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/>
      <w:sz w:val="24"/>
      <w:szCs w:val="24"/>
      <w:color w:val="000000"/>
      <w:lang w:val="ru-RU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Концепция: исследование интерактивного 3D Surround View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