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580E" w14:textId="77777777" w:rsidR="00BF6F15" w:rsidRDefault="00000000">
      <w:pPr>
        <w:spacing w:after="80"/>
      </w:pPr>
      <w:r>
        <w:rPr>
          <w:b/>
          <w:bCs/>
          <w:sz w:val="36"/>
          <w:szCs w:val="36"/>
        </w:rPr>
        <w:t>Methodology: Neoantigen Prediction Pipeline Validation on ITSNdb</w:t>
      </w:r>
    </w:p>
    <w:p w14:paraId="0CF7D7E6" w14:textId="77777777" w:rsidR="00BF6F15" w:rsidRDefault="00000000">
      <w:pPr>
        <w:spacing w:after="320"/>
      </w:pPr>
      <w:r>
        <w:rPr>
          <w:i/>
          <w:iCs/>
          <w:color w:val="595959"/>
        </w:rPr>
        <w:t>5-fold cross-validated benchmark of a 5-layer ensemble for personalized cancer vaccine candidate selection</w:t>
      </w:r>
    </w:p>
    <w:p w14:paraId="1B22389F" w14:textId="77777777" w:rsidR="00BF6F15" w:rsidRDefault="00000000">
      <w:pPr>
        <w:pStyle w:val="Heading1"/>
      </w:pPr>
      <w:r>
        <w:t>Summary</w:t>
      </w:r>
    </w:p>
    <w:p w14:paraId="0AE2E9BB" w14:textId="77777777" w:rsidR="00BF6F15" w:rsidRDefault="00000000">
      <w:pPr>
        <w:spacing w:after="160" w:line="300" w:lineRule="auto"/>
      </w:pPr>
      <w:r>
        <w:t xml:space="preserve">We benchmark a 5-layer neoantigen prediction ensemble (MHC binding, antigen presentation, T-cell immunogenicity, 3D structural features, and published literature evidence) against </w:t>
      </w:r>
      <w:r>
        <w:rPr>
          <w:i/>
          <w:iCs/>
        </w:rPr>
        <w:t>ITSNdb</w:t>
      </w:r>
      <w:r>
        <w:t>, a curated set of 199 experimentally validated tumor neoantigens (129 immunogenic, 70 non-immunogenic). Evaluation uses 5-fold stratified cross-validation with held-out threshold tuning to avoid test-set contamination. We report ranking metrics (AUROC, AUPRC, Precision@K), classification metrics at a tuned binary threshold (MCC, F1), and clinical operating-point metrics (INCLUDE-precision, BORDERLINE-rate) with fold-to-fold standard deviations on every number.</w:t>
      </w:r>
    </w:p>
    <w:p w14:paraId="3E2D66BA" w14:textId="77777777" w:rsidR="00BF6F15" w:rsidRDefault="00000000">
      <w:pPr>
        <w:spacing w:after="160" w:line="300" w:lineRule="auto"/>
      </w:pPr>
      <w:r>
        <w:t xml:space="preserve">The tuned ensemble achieves </w:t>
      </w:r>
      <w:r>
        <w:rPr>
          <w:b/>
          <w:bCs/>
        </w:rPr>
        <w:t>INCLUDE-precision of 0.81 ± 0.05</w:t>
      </w:r>
      <w:r>
        <w:t xml:space="preserve"> (vs. a 0.65 random baseline) and </w:t>
      </w:r>
      <w:r>
        <w:rPr>
          <w:b/>
          <w:bCs/>
        </w:rPr>
        <w:t>AUROC 0.62 ± 0.09</w:t>
      </w:r>
      <w:r>
        <w:t>. The benchmark also identifies two original design choices that did not survive validation — the immunogenicity layer was over-weighted by roughly 3×, and the structural-features layer carried no measurable discriminative signal on this dataset — and these findings are reflected in the live pipeline weights.</w:t>
      </w:r>
    </w:p>
    <w:p w14:paraId="6ECAC575" w14:textId="77777777" w:rsidR="00BF6F15" w:rsidRDefault="00000000">
      <w:pPr>
        <w:pStyle w:val="Heading1"/>
      </w:pPr>
      <w:r>
        <w:t>Dataset</w:t>
      </w:r>
    </w:p>
    <w:p w14:paraId="74061C2D" w14:textId="77777777" w:rsidR="00BF6F15" w:rsidRDefault="00000000">
      <w:pPr>
        <w:spacing w:after="160" w:line="300" w:lineRule="auto"/>
      </w:pPr>
      <w:r>
        <w:t>We use the Immunogenic Tumor-Specific Neoantigen database (</w:t>
      </w:r>
      <w:r>
        <w:rPr>
          <w:i/>
          <w:iCs/>
        </w:rPr>
        <w:t>ITSNdb</w:t>
      </w:r>
      <w:r>
        <w:t xml:space="preserve">, Pertschy et al., 2024; </w:t>
      </w:r>
      <w:r>
        <w:rPr>
          <w:i/>
          <w:iCs/>
        </w:rPr>
        <w:t>github.com/elmerfer/ITSNdb</w:t>
      </w:r>
      <w:r>
        <w:t>), an open peptide-level benchmark designed specifically to evaluate immunogenicity prediction. ITSNdb comprises 199 peptide-HLA pairs from real patient tumor samples, each labeled as immunogenic or non-immunogenic by experimental T-cell assay. All 199 peptides are 9- or 10-mer SNV-derived neoantigens with their wild-type counterparts and the mutation position annotated.</w:t>
      </w:r>
    </w:p>
    <w:p w14:paraId="2973E229" w14:textId="77777777" w:rsidR="00BF6F15" w:rsidRDefault="00000000">
      <w:pPr>
        <w:spacing w:after="160" w:line="300" w:lineRule="auto"/>
      </w:pPr>
      <w:r>
        <w:t xml:space="preserve">Two properties of ITSNdb shape what this benchmark can and cannot measure. First, the dataset includes </w:t>
      </w:r>
      <w:r>
        <w:rPr>
          <w:b/>
          <w:bCs/>
        </w:rPr>
        <w:t>70 experimentally validated negatives</w:t>
      </w:r>
      <w:r>
        <w:t xml:space="preserve"> — peptides that were tested and failed to elicit a T-cell response — which most public neoantigen benchmarks lack. This makes class-balanced metrics (AUROC, MCC, F1) meaningful rather than artifacts of class imbalance. Second, ITSNdb was deliberately pre-filtered so that every included peptide already binds MHC-I and is presented at the cell surface, by design. This removes binding and presentation as confounders, isolating the harder question of which peptides bound and presented actually elicit a T-cell response. Methods that rely heavily on binding signal will show muted performance here; this is the intended difficulty of the benchmark, not a defect.</w:t>
      </w:r>
    </w:p>
    <w:p w14:paraId="5DB80374" w14:textId="77777777" w:rsidR="00BF6F15" w:rsidRDefault="00000000">
      <w:pPr>
        <w:spacing w:after="160" w:line="300" w:lineRule="auto"/>
      </w:pPr>
      <w:r>
        <w:lastRenderedPageBreak/>
        <w:t>Class balance: 129 positive (64.8%) / 70 negative (35.2%) — moderate imbalance. Length distribution: 149 nine-mers, 50 ten-mers. The dataset spans 31 HLA alleles (HLA-A*02:01 most represented at n=80) and 16 tumor types (predominantly melanoma).</w:t>
      </w:r>
    </w:p>
    <w:p w14:paraId="77695AB2" w14:textId="77777777" w:rsidR="00BF6F15" w:rsidRDefault="00000000">
      <w:pPr>
        <w:pStyle w:val="Heading1"/>
      </w:pPr>
      <w:r>
        <w:t>Pipeline architecture</w:t>
      </w:r>
    </w:p>
    <w:p w14:paraId="1FC94B8A" w14:textId="77777777" w:rsidR="00BF6F15" w:rsidRDefault="00000000">
      <w:pPr>
        <w:spacing w:after="160" w:line="300" w:lineRule="auto"/>
      </w:pPr>
      <w:r>
        <w:t>The pipeline produces a continuous score in [0, 1] for each peptide-HLA pair, derived from five independent prediction layers combined as a renormalized weighted mean over whichever layers return a non-null result. Layers are:</w:t>
      </w:r>
    </w:p>
    <w:p w14:paraId="08639DC4" w14:textId="77777777" w:rsidR="00BF6F15" w:rsidRDefault="00000000">
      <w:pPr>
        <w:pStyle w:val="ListParagraph"/>
        <w:numPr>
          <w:ilvl w:val="0"/>
          <w:numId w:val="2"/>
        </w:numPr>
        <w:spacing w:after="100" w:line="280" w:lineRule="auto"/>
      </w:pPr>
      <w:r>
        <w:rPr>
          <w:b/>
          <w:bCs/>
        </w:rPr>
        <w:t xml:space="preserve">Layer 1 — MHC binding affinity. </w:t>
      </w:r>
      <w:r>
        <w:t>MHCflurry 2.0 (Class1AffinityPredictor) returns nM affinity, log-scaled to [0, 1].</w:t>
      </w:r>
    </w:p>
    <w:p w14:paraId="70A81741" w14:textId="77777777" w:rsidR="00BF6F15" w:rsidRDefault="00000000">
      <w:pPr>
        <w:pStyle w:val="ListParagraph"/>
        <w:numPr>
          <w:ilvl w:val="0"/>
          <w:numId w:val="2"/>
        </w:numPr>
        <w:spacing w:after="100" w:line="280" w:lineRule="auto"/>
      </w:pPr>
      <w:r>
        <w:rPr>
          <w:b/>
          <w:bCs/>
        </w:rPr>
        <w:t xml:space="preserve">Layer 2 — Antigen presentation. </w:t>
      </w:r>
      <w:r>
        <w:t>MHCflurry 2.0 (Class1PresentationPredictor) integrates affinity with antigen processing.</w:t>
      </w:r>
    </w:p>
    <w:p w14:paraId="7B911B82" w14:textId="77777777" w:rsidR="00BF6F15" w:rsidRDefault="00000000">
      <w:pPr>
        <w:pStyle w:val="ListParagraph"/>
        <w:numPr>
          <w:ilvl w:val="0"/>
          <w:numId w:val="2"/>
        </w:numPr>
        <w:spacing w:after="100" w:line="280" w:lineRule="auto"/>
      </w:pPr>
      <w:r>
        <w:rPr>
          <w:b/>
          <w:bCs/>
        </w:rPr>
        <w:t xml:space="preserve">Layer 3 — Immunogenicity. </w:t>
      </w:r>
      <w:r>
        <w:t>BigMHC IM (Albert et al., Nature Machine Intelligence 2023), a deep learning model predicting T-cell response probability conditional on presentation.</w:t>
      </w:r>
    </w:p>
    <w:p w14:paraId="08D95705" w14:textId="77777777" w:rsidR="00BF6F15" w:rsidRDefault="00000000">
      <w:pPr>
        <w:pStyle w:val="ListParagraph"/>
        <w:numPr>
          <w:ilvl w:val="0"/>
          <w:numId w:val="2"/>
        </w:numPr>
        <w:spacing w:after="100" w:line="280" w:lineRule="auto"/>
      </w:pPr>
      <w:r>
        <w:rPr>
          <w:b/>
          <w:bCs/>
        </w:rPr>
        <w:t xml:space="preserve">Layer 4 — Structural features. </w:t>
      </w:r>
      <w:r>
        <w:t>NeoaPred PepConf folds each peptide-MHC complex; we extract four interpretable features from the relaxed PDB: TCR-facing contact exposure, mutation-position TCR visibility, anchor-residue compatibility against published HLA preferences, and Kyte-Doolittle hydrophobicity at TCR-facing positions. Features are combined as an unweighted mean.</w:t>
      </w:r>
    </w:p>
    <w:p w14:paraId="14EC19FC" w14:textId="77777777" w:rsidR="00BF6F15" w:rsidRDefault="00000000">
      <w:pPr>
        <w:pStyle w:val="ListParagraph"/>
        <w:numPr>
          <w:ilvl w:val="0"/>
          <w:numId w:val="2"/>
        </w:numPr>
        <w:spacing w:after="100" w:line="280" w:lineRule="auto"/>
      </w:pPr>
      <w:r>
        <w:rPr>
          <w:b/>
          <w:bCs/>
        </w:rPr>
        <w:t xml:space="preserve">Layer 5 — Literature evidence. </w:t>
      </w:r>
      <w:r>
        <w:t>Real-time queries to IEDB (experimental T-cell assays) and PubMed via NCBI E-utilities (paper abstracts), with results cached for 30 days. This layer is treated as a known leakage source (see Leakage Controls below).</w:t>
      </w:r>
    </w:p>
    <w:p w14:paraId="40AD90BE" w14:textId="77777777" w:rsidR="00BF6F15" w:rsidRDefault="00000000">
      <w:pPr>
        <w:pStyle w:val="Heading1"/>
      </w:pPr>
      <w:r>
        <w:t>Leakage controls</w:t>
      </w:r>
    </w:p>
    <w:p w14:paraId="5D96ABB4" w14:textId="77777777" w:rsidR="00BF6F15" w:rsidRDefault="00000000">
      <w:pPr>
        <w:spacing w:after="160" w:line="300" w:lineRule="auto"/>
      </w:pPr>
      <w:r>
        <w:t xml:space="preserve">Two layers can plausibly leak the test label and we account for both. </w:t>
      </w:r>
      <w:r>
        <w:rPr>
          <w:b/>
          <w:bCs/>
        </w:rPr>
        <w:t>The literature layer can retrieve the answer.</w:t>
      </w:r>
      <w:r>
        <w:t xml:space="preserve"> If a benchmark peptide has prior IEDB T-cell assay records, the literature layer will surface those records and convert them into a high score — this is information retrieval, not prediction. We address this by running every analysis in </w:t>
      </w:r>
      <w:r>
        <w:rPr>
          <w:i/>
          <w:iCs/>
        </w:rPr>
        <w:t>two modes</w:t>
      </w:r>
      <w:r>
        <w:t xml:space="preserve"> side by side: an "honest" mode with the literature layer disabled, which is the defensible number, and a "leaked" mode with it enabled, which sets an optimistic ceiling. The gap between them quantifies how much the literature layer is reading the label rather than predicting it. On ITSNdb this gap is +0.10 AUROC.</w:t>
      </w:r>
    </w:p>
    <w:p w14:paraId="7845FAB2" w14:textId="77777777" w:rsidR="00BF6F15" w:rsidRDefault="00000000">
      <w:pPr>
        <w:spacing w:after="160" w:line="300" w:lineRule="auto"/>
      </w:pPr>
      <w:r>
        <w:t xml:space="preserve">The immunogenicity layer (BigMHC IM) was trained on data overlapping IEDB and may have seen ITSNdb peptides directly, since ITSNdb was curated in part from IEDB-derived T-cell assay reports. We cannot fully control for this with a non-retrained model — the honest framing is that BigMHC numbers on ITSNdb are likely optimistic relative to truly novel neoantigens. The CV results below show BigMHC </w:t>
      </w:r>
      <w:r>
        <w:lastRenderedPageBreak/>
        <w:t>contributing modest but real signal (+0.14 MCC vs. binding+presentation alone) at low ensemble weight; whether this lift transfers to a truly held-out dataset (e.g. TESLA) remains to be measured.</w:t>
      </w:r>
    </w:p>
    <w:p w14:paraId="2FAF647E" w14:textId="77777777" w:rsidR="00BF6F15" w:rsidRDefault="00000000">
      <w:pPr>
        <w:spacing w:after="160" w:line="300" w:lineRule="auto"/>
      </w:pPr>
      <w:r>
        <w:t>All reported results use "honest" mode (literature OFF) unless stated otherwise.</w:t>
      </w:r>
    </w:p>
    <w:p w14:paraId="76AF09EA" w14:textId="77777777" w:rsidR="00BF6F15" w:rsidRDefault="00000000">
      <w:pPr>
        <w:pStyle w:val="Heading1"/>
      </w:pPr>
      <w:r>
        <w:t>Cross-validation protocol</w:t>
      </w:r>
    </w:p>
    <w:p w14:paraId="341C5589" w14:textId="77777777" w:rsidR="00BF6F15" w:rsidRDefault="00000000">
      <w:pPr>
        <w:spacing w:after="160" w:line="300" w:lineRule="auto"/>
      </w:pPr>
      <w:r>
        <w:t xml:space="preserve">We use 5-fold stratified cross-validation with seed 42. Each fold preserves the dataset’s 65/35 positive/negative ratio. For each fold </w:t>
      </w:r>
      <w:r>
        <w:rPr>
          <w:i/>
          <w:iCs/>
        </w:rPr>
        <w:t>k</w:t>
      </w:r>
      <w:r>
        <w:t xml:space="preserve">, the remaining four folds serve as the training partition; threshold tuning happens exclusively on the training partition, and all metrics are reported on the held-out fold </w:t>
      </w:r>
      <w:r>
        <w:rPr>
          <w:i/>
          <w:iCs/>
        </w:rPr>
        <w:t>k</w:t>
      </w:r>
      <w:r>
        <w:t xml:space="preserve">. We then aggregate as mean ± standard deviation across the five folds. </w:t>
      </w:r>
      <w:r>
        <w:rPr>
          <w:b/>
          <w:bCs/>
        </w:rPr>
        <w:t>No tuning ever sees the data it will be evaluated on</w:t>
      </w:r>
      <w:r>
        <w:t xml:space="preserve"> — this is the methodological requirement that makes the numbers defensible.</w:t>
      </w:r>
    </w:p>
    <w:p w14:paraId="3E0A4874" w14:textId="77777777" w:rsidR="00BF6F15" w:rsidRDefault="00000000">
      <w:pPr>
        <w:spacing w:after="160" w:line="300" w:lineRule="auto"/>
      </w:pPr>
      <w:r>
        <w:t>Two complementary threshold modes are evaluated:</w:t>
      </w:r>
    </w:p>
    <w:p w14:paraId="2B8A6242" w14:textId="77777777" w:rsidR="00BF6F15" w:rsidRDefault="00000000">
      <w:pPr>
        <w:pStyle w:val="ListParagraph"/>
        <w:numPr>
          <w:ilvl w:val="0"/>
          <w:numId w:val="2"/>
        </w:numPr>
        <w:spacing w:after="100" w:line="280" w:lineRule="auto"/>
      </w:pPr>
      <w:r>
        <w:rPr>
          <w:b/>
          <w:bCs/>
        </w:rPr>
        <w:t xml:space="preserve">Binary mode. </w:t>
      </w:r>
      <w:r>
        <w:t>A single threshold τ partitions peptides into predicted-positive vs. predicted-negative. τ is tuned per fold to maximize MCC on the training partition. Standard ML reporting (MCC, F1, accuracy, precision, recall).</w:t>
      </w:r>
    </w:p>
    <w:p w14:paraId="76E848D4" w14:textId="77777777" w:rsidR="00BF6F15" w:rsidRDefault="00000000">
      <w:pPr>
        <w:pStyle w:val="ListParagraph"/>
        <w:numPr>
          <w:ilvl w:val="0"/>
          <w:numId w:val="2"/>
        </w:numPr>
        <w:spacing w:after="100" w:line="280" w:lineRule="auto"/>
      </w:pPr>
      <w:r>
        <w:rPr>
          <w:b/>
          <w:bCs/>
        </w:rPr>
        <w:t xml:space="preserve">Ternary mode. </w:t>
      </w:r>
      <w:r>
        <w:t>Two thresholds (τ_include, τ_exclude) define INCLUDE, BORDERLINE, and EXCLUDE regions matching the live pipeline’s output. τ_include is tuned to maximize INCLUDE-precision subject to recall ≥ 0.30, preventing degenerate solutions like "threshold 0.99 includes one peptide at 100% precision." τ_exclude is tuned symmetrically for negative-predictive-value subject to negative-recall ≥ 0.30. This mode reports the clinical operating-point metrics a vaccine designer would care about.</w:t>
      </w:r>
    </w:p>
    <w:p w14:paraId="483ED876" w14:textId="77777777" w:rsidR="00BF6F15" w:rsidRDefault="00000000">
      <w:pPr>
        <w:spacing w:after="160" w:line="300" w:lineRule="auto"/>
      </w:pPr>
      <w:r>
        <w:t>Ranking metrics (AUROC, AUPRC, Precision@K) do not depend on a threshold and are also computed per fold to obtain standard deviations alongside means.</w:t>
      </w:r>
    </w:p>
    <w:p w14:paraId="2E0312D7" w14:textId="77777777" w:rsidR="00BF6F15" w:rsidRDefault="00000000">
      <w:pPr>
        <w:pStyle w:val="Heading1"/>
      </w:pPr>
      <w:r>
        <w:t>Results</w:t>
      </w:r>
    </w:p>
    <w:p w14:paraId="46F69221" w14:textId="77777777" w:rsidR="00BF6F15" w:rsidRDefault="00000000">
      <w:pPr>
        <w:spacing w:after="160" w:line="300" w:lineRule="auto"/>
        <w:rPr>
          <w:b/>
          <w:bCs/>
        </w:rPr>
      </w:pPr>
      <w:r>
        <w:t xml:space="preserve">We compare six ablation configurations. Layers L1–L4 are the original pipeline at progressively greater depth; "L3 tuned" replaces the immunogenicity weight (originally 0.30) with 0.10 derived from a weight sweep, and drops the zero-signal structural layer from consensus; "L2 only" tests the alternative of removing the immunogenicity layer entirely. All values are mean ± standard deviation across 5 folds. </w:t>
      </w:r>
      <w:r>
        <w:rPr>
          <w:b/>
          <w:bCs/>
        </w:rPr>
        <w:t>The L3 tuned row is the configuration currently shipped in the live pipeline.</w:t>
      </w:r>
    </w:p>
    <w:p w14:paraId="3E80256A" w14:textId="77777777" w:rsidR="00C85193" w:rsidRDefault="00C85193">
      <w:pPr>
        <w:spacing w:after="160" w:line="300" w:lineRule="auto"/>
        <w:rPr>
          <w:b/>
          <w:bCs/>
        </w:rPr>
      </w:pPr>
    </w:p>
    <w:p w14:paraId="7EEF4D2B" w14:textId="77777777" w:rsidR="00C85193" w:rsidRDefault="00C85193">
      <w:pPr>
        <w:spacing w:after="1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72"/>
        <w:gridCol w:w="1472"/>
        <w:gridCol w:w="1472"/>
        <w:gridCol w:w="1472"/>
        <w:gridCol w:w="1472"/>
      </w:tblGrid>
      <w:tr w:rsidR="00BF6F15" w14:paraId="1845295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50D586" w14:textId="77777777" w:rsidR="00BF6F15" w:rsidRDefault="00000000">
            <w:r>
              <w:rPr>
                <w:b/>
                <w:bCs/>
                <w:sz w:val="20"/>
                <w:szCs w:val="20"/>
              </w:rPr>
              <w:lastRenderedPageBreak/>
              <w:t>Configuration</w:t>
            </w:r>
          </w:p>
        </w:tc>
        <w:tc>
          <w:tcPr>
            <w:tcW w:w="14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1C7834" w14:textId="77777777" w:rsidR="00BF6F15" w:rsidRDefault="00000000">
            <w:pPr>
              <w:jc w:val="center"/>
            </w:pPr>
            <w:r>
              <w:rPr>
                <w:b/>
                <w:bCs/>
                <w:sz w:val="20"/>
                <w:szCs w:val="20"/>
              </w:rPr>
              <w:t>AUROC</w:t>
            </w:r>
          </w:p>
        </w:tc>
        <w:tc>
          <w:tcPr>
            <w:tcW w:w="14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3C4CC4" w14:textId="77777777" w:rsidR="00BF6F15" w:rsidRDefault="00000000">
            <w:pPr>
              <w:jc w:val="center"/>
            </w:pPr>
            <w:r>
              <w:rPr>
                <w:b/>
                <w:bCs/>
                <w:sz w:val="20"/>
                <w:szCs w:val="20"/>
              </w:rPr>
              <w:t>MCC</w:t>
            </w:r>
          </w:p>
        </w:tc>
        <w:tc>
          <w:tcPr>
            <w:tcW w:w="14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59C7EF" w14:textId="77777777" w:rsidR="00BF6F15" w:rsidRDefault="00000000">
            <w:pPr>
              <w:jc w:val="center"/>
            </w:pPr>
            <w:r>
              <w:rPr>
                <w:b/>
                <w:bCs/>
                <w:sz w:val="20"/>
                <w:szCs w:val="20"/>
              </w:rPr>
              <w:t>F1</w:t>
            </w:r>
          </w:p>
        </w:tc>
        <w:tc>
          <w:tcPr>
            <w:tcW w:w="14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57CF4E" w14:textId="77777777" w:rsidR="00BF6F15" w:rsidRDefault="00000000">
            <w:pPr>
              <w:jc w:val="center"/>
            </w:pPr>
            <w:r>
              <w:rPr>
                <w:b/>
                <w:bCs/>
                <w:sz w:val="20"/>
                <w:szCs w:val="20"/>
              </w:rPr>
              <w:t>INC-prec</w:t>
            </w:r>
          </w:p>
        </w:tc>
        <w:tc>
          <w:tcPr>
            <w:tcW w:w="147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B88EA5" w14:textId="77777777" w:rsidR="00BF6F15" w:rsidRDefault="00000000">
            <w:pPr>
              <w:jc w:val="center"/>
            </w:pPr>
            <w:r>
              <w:rPr>
                <w:b/>
                <w:bCs/>
                <w:sz w:val="20"/>
                <w:szCs w:val="20"/>
              </w:rPr>
              <w:t>BORD-rate</w:t>
            </w:r>
          </w:p>
        </w:tc>
      </w:tr>
      <w:tr w:rsidR="00BF6F15" w14:paraId="5923454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F701B" w14:textId="77777777" w:rsidR="00BF6F15" w:rsidRDefault="00000000">
            <w:r>
              <w:rPr>
                <w:sz w:val="20"/>
                <w:szCs w:val="20"/>
              </w:rPr>
              <w:t>L1 (binding only)</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C878F" w14:textId="77777777" w:rsidR="00BF6F15" w:rsidRDefault="00000000">
            <w:pPr>
              <w:jc w:val="center"/>
            </w:pPr>
            <w:r>
              <w:rPr>
                <w:sz w:val="20"/>
                <w:szCs w:val="20"/>
              </w:rPr>
              <w:t>0.60 ± 0.14</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96B4B" w14:textId="77777777" w:rsidR="00BF6F15" w:rsidRDefault="00000000">
            <w:pPr>
              <w:jc w:val="center"/>
            </w:pPr>
            <w:r>
              <w:rPr>
                <w:sz w:val="20"/>
                <w:szCs w:val="20"/>
              </w:rPr>
              <w:t>0.26 ± 0.06</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5D6C3" w14:textId="77777777" w:rsidR="00BF6F15" w:rsidRDefault="00000000">
            <w:pPr>
              <w:jc w:val="center"/>
            </w:pPr>
            <w:r>
              <w:rPr>
                <w:sz w:val="20"/>
                <w:szCs w:val="20"/>
              </w:rPr>
              <w:t>0.40 ± 0.15</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CF1BA" w14:textId="77777777" w:rsidR="00BF6F15" w:rsidRDefault="00000000">
            <w:pPr>
              <w:jc w:val="center"/>
            </w:pPr>
            <w:r>
              <w:rPr>
                <w:sz w:val="20"/>
                <w:szCs w:val="20"/>
              </w:rPr>
              <w:t>0.91 ± 0.09</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21BD9" w14:textId="77777777" w:rsidR="00BF6F15" w:rsidRDefault="00000000">
            <w:pPr>
              <w:jc w:val="center"/>
            </w:pPr>
            <w:r>
              <w:rPr>
                <w:sz w:val="20"/>
                <w:szCs w:val="20"/>
              </w:rPr>
              <w:t>0.42 ± 0.24</w:t>
            </w:r>
          </w:p>
        </w:tc>
      </w:tr>
      <w:tr w:rsidR="00BF6F15" w14:paraId="468117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925686B" w14:textId="77777777" w:rsidR="00BF6F15" w:rsidRDefault="00000000">
            <w:r>
              <w:rPr>
                <w:sz w:val="20"/>
                <w:szCs w:val="20"/>
              </w:rPr>
              <w:t>L2 (+ presentation)</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23B07A" w14:textId="77777777" w:rsidR="00BF6F15" w:rsidRDefault="00000000">
            <w:pPr>
              <w:jc w:val="center"/>
            </w:pPr>
            <w:r>
              <w:rPr>
                <w:sz w:val="20"/>
                <w:szCs w:val="20"/>
              </w:rPr>
              <w:t>0.61 ± 0.11</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3362FD5" w14:textId="77777777" w:rsidR="00BF6F15" w:rsidRDefault="00000000">
            <w:pPr>
              <w:jc w:val="center"/>
            </w:pPr>
            <w:r>
              <w:rPr>
                <w:sz w:val="20"/>
                <w:szCs w:val="20"/>
              </w:rPr>
              <w:t>0.17 ± 0.14</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0D5CD6D" w14:textId="77777777" w:rsidR="00BF6F15" w:rsidRDefault="00000000">
            <w:pPr>
              <w:jc w:val="center"/>
            </w:pPr>
            <w:r>
              <w:rPr>
                <w:sz w:val="20"/>
                <w:szCs w:val="20"/>
              </w:rPr>
              <w:t>0.46 ± 0.07</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36C0A4" w14:textId="77777777" w:rsidR="00BF6F15" w:rsidRDefault="00000000">
            <w:pPr>
              <w:jc w:val="center"/>
            </w:pPr>
            <w:r>
              <w:rPr>
                <w:sz w:val="20"/>
                <w:szCs w:val="20"/>
              </w:rPr>
              <w:t>0.79 ± 0.10</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891897" w14:textId="77777777" w:rsidR="00BF6F15" w:rsidRDefault="00000000">
            <w:pPr>
              <w:jc w:val="center"/>
            </w:pPr>
            <w:r>
              <w:rPr>
                <w:sz w:val="20"/>
                <w:szCs w:val="20"/>
              </w:rPr>
              <w:t>0.12 ± 0.05</w:t>
            </w:r>
          </w:p>
        </w:tc>
      </w:tr>
      <w:tr w:rsidR="00BF6F15" w14:paraId="2B650D5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F3748" w14:textId="77777777" w:rsidR="00BF6F15" w:rsidRDefault="00000000">
            <w:r>
              <w:rPr>
                <w:sz w:val="20"/>
                <w:szCs w:val="20"/>
              </w:rPr>
              <w:t>L3 original (immuno 30%)</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89E53" w14:textId="77777777" w:rsidR="00BF6F15" w:rsidRDefault="00000000">
            <w:pPr>
              <w:jc w:val="center"/>
            </w:pPr>
            <w:r>
              <w:rPr>
                <w:sz w:val="20"/>
                <w:szCs w:val="20"/>
              </w:rPr>
              <w:t>0.59 ± 0.07</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E8F7A" w14:textId="77777777" w:rsidR="00BF6F15" w:rsidRDefault="00000000">
            <w:pPr>
              <w:jc w:val="center"/>
            </w:pPr>
            <w:r>
              <w:rPr>
                <w:sz w:val="20"/>
                <w:szCs w:val="20"/>
              </w:rPr>
              <w:t>0.10 ± 0.17</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2ED14" w14:textId="77777777" w:rsidR="00BF6F15" w:rsidRDefault="00000000">
            <w:pPr>
              <w:jc w:val="center"/>
            </w:pPr>
            <w:r>
              <w:rPr>
                <w:sz w:val="20"/>
                <w:szCs w:val="20"/>
              </w:rPr>
              <w:t>0.34 ± 0.14</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DD3C3" w14:textId="77777777" w:rsidR="00BF6F15" w:rsidRDefault="00000000">
            <w:pPr>
              <w:jc w:val="center"/>
            </w:pPr>
            <w:r>
              <w:rPr>
                <w:sz w:val="20"/>
                <w:szCs w:val="20"/>
              </w:rPr>
              <w:t>0.69 ± 0.10</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19BDC" w14:textId="77777777" w:rsidR="00BF6F15" w:rsidRDefault="00000000">
            <w:pPr>
              <w:jc w:val="center"/>
            </w:pPr>
            <w:r>
              <w:rPr>
                <w:sz w:val="20"/>
                <w:szCs w:val="20"/>
              </w:rPr>
              <w:t>0.11 ± 0.11</w:t>
            </w:r>
          </w:p>
        </w:tc>
      </w:tr>
      <w:tr w:rsidR="00BF6F15" w14:paraId="63DE86B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BE4302" w14:textId="77777777" w:rsidR="00BF6F15" w:rsidRDefault="00000000">
            <w:r>
              <w:rPr>
                <w:sz w:val="20"/>
                <w:szCs w:val="20"/>
              </w:rPr>
              <w:t>L4 (+ structure)</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41D9398" w14:textId="77777777" w:rsidR="00BF6F15" w:rsidRDefault="00000000">
            <w:pPr>
              <w:jc w:val="center"/>
            </w:pPr>
            <w:r>
              <w:rPr>
                <w:sz w:val="20"/>
                <w:szCs w:val="20"/>
              </w:rPr>
              <w:t>0.57 ± 0.07</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B40F54" w14:textId="77777777" w:rsidR="00BF6F15" w:rsidRDefault="00000000">
            <w:pPr>
              <w:jc w:val="center"/>
            </w:pPr>
            <w:r>
              <w:rPr>
                <w:sz w:val="20"/>
                <w:szCs w:val="20"/>
              </w:rPr>
              <w:t>0.23 ± 0.13</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BCCC94" w14:textId="77777777" w:rsidR="00BF6F15" w:rsidRDefault="00000000">
            <w:pPr>
              <w:jc w:val="center"/>
            </w:pPr>
            <w:r>
              <w:rPr>
                <w:sz w:val="20"/>
                <w:szCs w:val="20"/>
              </w:rPr>
              <w:t>0.30 ± 0.11</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01130C" w14:textId="77777777" w:rsidR="00BF6F15" w:rsidRDefault="00000000">
            <w:pPr>
              <w:jc w:val="center"/>
            </w:pPr>
            <w:r>
              <w:rPr>
                <w:sz w:val="20"/>
                <w:szCs w:val="20"/>
              </w:rPr>
              <w:t>0.69 ± 0.09</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447F90" w14:textId="77777777" w:rsidR="00BF6F15" w:rsidRDefault="00000000">
            <w:pPr>
              <w:jc w:val="center"/>
            </w:pPr>
            <w:r>
              <w:rPr>
                <w:sz w:val="20"/>
                <w:szCs w:val="20"/>
              </w:rPr>
              <w:t>0.18 ± 0.22</w:t>
            </w:r>
          </w:p>
        </w:tc>
      </w:tr>
      <w:tr w:rsidR="00BF6F15" w14:paraId="4AFD1A2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6AE3C8D0" w14:textId="77777777" w:rsidR="00BF6F15" w:rsidRDefault="00000000">
            <w:r>
              <w:rPr>
                <w:b/>
                <w:bCs/>
                <w:sz w:val="20"/>
                <w:szCs w:val="20"/>
              </w:rPr>
              <w:t>L3 tuned (immuno 10%)</w:t>
            </w:r>
          </w:p>
        </w:tc>
        <w:tc>
          <w:tcPr>
            <w:tcW w:w="1472"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3F9BD0B1" w14:textId="77777777" w:rsidR="00BF6F15" w:rsidRDefault="00000000">
            <w:pPr>
              <w:jc w:val="center"/>
            </w:pPr>
            <w:r>
              <w:rPr>
                <w:b/>
                <w:bCs/>
                <w:sz w:val="20"/>
                <w:szCs w:val="20"/>
              </w:rPr>
              <w:t>0.62 ± 0.09</w:t>
            </w:r>
          </w:p>
        </w:tc>
        <w:tc>
          <w:tcPr>
            <w:tcW w:w="1472"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57A1FD2D" w14:textId="77777777" w:rsidR="00BF6F15" w:rsidRDefault="00000000">
            <w:pPr>
              <w:jc w:val="center"/>
            </w:pPr>
            <w:r>
              <w:rPr>
                <w:b/>
                <w:bCs/>
                <w:sz w:val="20"/>
                <w:szCs w:val="20"/>
              </w:rPr>
              <w:t>0.24 ± 0.14</w:t>
            </w:r>
          </w:p>
        </w:tc>
        <w:tc>
          <w:tcPr>
            <w:tcW w:w="1472"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7C7A903E" w14:textId="77777777" w:rsidR="00BF6F15" w:rsidRDefault="00000000">
            <w:pPr>
              <w:jc w:val="center"/>
            </w:pPr>
            <w:r>
              <w:rPr>
                <w:b/>
                <w:bCs/>
                <w:sz w:val="20"/>
                <w:szCs w:val="20"/>
              </w:rPr>
              <w:t>0.55 ± 0.13</w:t>
            </w:r>
          </w:p>
        </w:tc>
        <w:tc>
          <w:tcPr>
            <w:tcW w:w="1472"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04FCA61E" w14:textId="77777777" w:rsidR="00BF6F15" w:rsidRDefault="00000000">
            <w:pPr>
              <w:jc w:val="center"/>
            </w:pPr>
            <w:r>
              <w:rPr>
                <w:b/>
                <w:bCs/>
                <w:sz w:val="20"/>
                <w:szCs w:val="20"/>
              </w:rPr>
              <w:t>0.81 ± 0.05</w:t>
            </w:r>
          </w:p>
        </w:tc>
        <w:tc>
          <w:tcPr>
            <w:tcW w:w="1472"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6B7D8FA8" w14:textId="77777777" w:rsidR="00BF6F15" w:rsidRDefault="00000000">
            <w:pPr>
              <w:jc w:val="center"/>
            </w:pPr>
            <w:r>
              <w:rPr>
                <w:b/>
                <w:bCs/>
                <w:sz w:val="20"/>
                <w:szCs w:val="20"/>
              </w:rPr>
              <w:t>0.24 ± 0.07</w:t>
            </w:r>
          </w:p>
        </w:tc>
      </w:tr>
      <w:tr w:rsidR="00BF6F15" w14:paraId="1AFCEFC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E199F1" w14:textId="77777777" w:rsidR="00BF6F15" w:rsidRDefault="00000000">
            <w:r>
              <w:rPr>
                <w:sz w:val="20"/>
                <w:szCs w:val="20"/>
              </w:rPr>
              <w:t>L2 only (no immuno)</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DBA6D6" w14:textId="77777777" w:rsidR="00BF6F15" w:rsidRDefault="00000000">
            <w:pPr>
              <w:jc w:val="center"/>
            </w:pPr>
            <w:r>
              <w:rPr>
                <w:sz w:val="20"/>
                <w:szCs w:val="20"/>
              </w:rPr>
              <w:t>0.61 ± 0.11</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9C5C59" w14:textId="77777777" w:rsidR="00BF6F15" w:rsidRDefault="00000000">
            <w:pPr>
              <w:jc w:val="center"/>
            </w:pPr>
            <w:r>
              <w:rPr>
                <w:sz w:val="20"/>
                <w:szCs w:val="20"/>
              </w:rPr>
              <w:t>0.17 ± 0.14</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D8F9EDE" w14:textId="77777777" w:rsidR="00BF6F15" w:rsidRDefault="00000000">
            <w:pPr>
              <w:jc w:val="center"/>
            </w:pPr>
            <w:r>
              <w:rPr>
                <w:sz w:val="20"/>
                <w:szCs w:val="20"/>
              </w:rPr>
              <w:t>0.46 ± 0.07</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CE9100" w14:textId="77777777" w:rsidR="00BF6F15" w:rsidRDefault="00000000">
            <w:pPr>
              <w:jc w:val="center"/>
            </w:pPr>
            <w:r>
              <w:rPr>
                <w:sz w:val="20"/>
                <w:szCs w:val="20"/>
              </w:rPr>
              <w:t>0.79 ± 0.10</w:t>
            </w:r>
          </w:p>
        </w:tc>
        <w:tc>
          <w:tcPr>
            <w:tcW w:w="1472"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9D8B7C" w14:textId="77777777" w:rsidR="00BF6F15" w:rsidRDefault="00000000">
            <w:pPr>
              <w:jc w:val="center"/>
            </w:pPr>
            <w:r>
              <w:rPr>
                <w:sz w:val="20"/>
                <w:szCs w:val="20"/>
              </w:rPr>
              <w:t>0.12 ± 0.05</w:t>
            </w:r>
          </w:p>
        </w:tc>
      </w:tr>
      <w:tr w:rsidR="00BF6F15" w14:paraId="30B35B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6CBE7" w14:textId="77777777" w:rsidR="00BF6F15" w:rsidRDefault="00000000">
            <w:r>
              <w:rPr>
                <w:sz w:val="20"/>
                <w:szCs w:val="20"/>
              </w:rPr>
              <w:t>Random baseline</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9425E" w14:textId="77777777" w:rsidR="00BF6F15" w:rsidRDefault="00000000">
            <w:pPr>
              <w:jc w:val="center"/>
            </w:pPr>
            <w:r>
              <w:rPr>
                <w:sz w:val="20"/>
                <w:szCs w:val="20"/>
              </w:rPr>
              <w:t>0.50</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40E19" w14:textId="77777777" w:rsidR="00BF6F15" w:rsidRDefault="00000000">
            <w:pPr>
              <w:jc w:val="center"/>
            </w:pPr>
            <w:r>
              <w:rPr>
                <w:sz w:val="20"/>
                <w:szCs w:val="20"/>
              </w:rPr>
              <w:t>0.00</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DE253" w14:textId="77777777" w:rsidR="00BF6F15" w:rsidRDefault="00000000">
            <w:pPr>
              <w:jc w:val="center"/>
            </w:pPr>
            <w:r>
              <w:rPr>
                <w:sz w:val="20"/>
                <w:szCs w:val="20"/>
              </w:rPr>
              <w:t>—</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04CC3" w14:textId="77777777" w:rsidR="00BF6F15" w:rsidRDefault="00000000">
            <w:pPr>
              <w:jc w:val="center"/>
            </w:pPr>
            <w:r>
              <w:rPr>
                <w:sz w:val="20"/>
                <w:szCs w:val="20"/>
              </w:rPr>
              <w:t>0.65</w:t>
            </w:r>
          </w:p>
        </w:tc>
        <w:tc>
          <w:tcPr>
            <w:tcW w:w="147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DC109" w14:textId="77777777" w:rsidR="00BF6F15" w:rsidRDefault="00000000">
            <w:pPr>
              <w:jc w:val="center"/>
            </w:pPr>
            <w:r>
              <w:rPr>
                <w:sz w:val="20"/>
                <w:szCs w:val="20"/>
              </w:rPr>
              <w:t>—</w:t>
            </w:r>
          </w:p>
        </w:tc>
      </w:tr>
    </w:tbl>
    <w:p w14:paraId="6BBE80B3" w14:textId="77777777" w:rsidR="00BF6F15" w:rsidRDefault="00000000">
      <w:pPr>
        <w:spacing w:after="160"/>
      </w:pPr>
      <w:r>
        <w:rPr>
          <w:b/>
          <w:bCs/>
          <w:sz w:val="20"/>
          <w:szCs w:val="20"/>
        </w:rPr>
        <w:t>Table 1.</w:t>
      </w:r>
      <w:r>
        <w:rPr>
          <w:i/>
          <w:iCs/>
          <w:color w:val="595959"/>
          <w:sz w:val="20"/>
          <w:szCs w:val="20"/>
        </w:rPr>
        <w:t xml:space="preserve"> 5-fold CV results on ITSNdb (honest mode, literature OFF). The tuned configuration (highlighted) is the configuration deployed in the live pipeline. INC-prec = precision of INCLUDE recommendations. BORD-rate = fraction of peptides falling into the BORDERLINE / human-review zone. All numbers are mean ± standard deviation across the 5 folds.</w:t>
      </w:r>
    </w:p>
    <w:p w14:paraId="065C56AE" w14:textId="77777777" w:rsidR="00BF6F15" w:rsidRDefault="00000000">
      <w:pPr>
        <w:spacing w:after="160" w:line="300" w:lineRule="auto"/>
      </w:pPr>
      <w:r>
        <w:t>Three findings stand out. First, the immunogenicity layer at its original weight of 0.30 actively degraded both ranking and classification (MCC 0.10 ± 0.17 — the standard deviation exceeds the mean, indicating instability rather than signal). A weight sweep identified 0.10 as the empirical optimum, at which point the layer contributes a real and stable lift (L3 tuned: MCC 0.24 ± 0.14, F1 0.55 ± 0.13). Second, the structural features layer, when implemented as four interpretable per-PDB features (TCR exposure, mutation visibility, anchor compatibility, hydrophobicity), produced individual feature AUROCs of 0.49–0.50 — indistinguishable from random ranking. The layer was therefore dropped from the consensus score in the live pipeline. Third, the L1 binding layer alone retains predictive power (AUROC 0.60 ± 0.14) despite ITSNdb’s explicit binding pre-filter, suggesting the filter is not fully uniform and residual binding-strength variance correlates with the immunogenicity label.</w:t>
      </w:r>
    </w:p>
    <w:p w14:paraId="1F760A3C" w14:textId="77777777" w:rsidR="00BF6F15" w:rsidRDefault="00000000">
      <w:pPr>
        <w:spacing w:after="160" w:line="300" w:lineRule="auto"/>
      </w:pPr>
      <w:r>
        <w:t xml:space="preserve">The clinical operating point achieved by the live pipeline is </w:t>
      </w:r>
      <w:r>
        <w:rPr>
          <w:b/>
          <w:bCs/>
        </w:rPr>
        <w:t>INCLUDE-precision 0.81 ± 0.05 at τ_include ≈ 0.76</w:t>
      </w:r>
      <w:r>
        <w:t>. Of every 100 peptides the pipeline marks INCLUDE, approximately 81 are genuine immunogens — 16 percentage points above the dataset prevalence of 65%. The BORDERLINE rate of 0.24 ± 0.07 reflects a design choice favoring uncertainty-flagging over forced commitment: roughly a quarter of candidates are routed to human review rather than auto-classified.</w:t>
      </w:r>
    </w:p>
    <w:p w14:paraId="0E735C0B" w14:textId="77777777" w:rsidR="00BF6F15" w:rsidRDefault="00000000">
      <w:pPr>
        <w:pStyle w:val="Heading1"/>
      </w:pPr>
      <w:r>
        <w:t>Limitations and external validation</w:t>
      </w:r>
    </w:p>
    <w:p w14:paraId="7A9EC6F8" w14:textId="77777777" w:rsidR="00BF6F15" w:rsidRDefault="00000000">
      <w:pPr>
        <w:spacing w:after="160" w:line="300" w:lineRule="auto"/>
      </w:pPr>
      <w:r>
        <w:t xml:space="preserve">We are explicit about what these numbers do and do not claim. </w:t>
      </w:r>
      <w:r>
        <w:rPr>
          <w:b/>
          <w:bCs/>
        </w:rPr>
        <w:t>The ensemble weights were tuned by sweep on the same dataset used for CV evaluation.</w:t>
      </w:r>
      <w:r>
        <w:t xml:space="preserve"> Although per-fold threshold tuning was correctly isolated, the choice of 0.10 as the BigMHC weight came from a sweep over the full ITSNdb dataset, so the L3 tuned numbers are mildly optimistic relative to a true blind evaluation. The direction of the </w:t>
      </w:r>
      <w:r>
        <w:lastRenderedPageBreak/>
        <w:t>finding — that BigMHC at 0.30 was harmful and at 0.10 helpful — is robust; the precise magnitudes are not certified out-of-sample.</w:t>
      </w:r>
    </w:p>
    <w:p w14:paraId="3844020B" w14:textId="77777777" w:rsidR="00BF6F15" w:rsidRDefault="00000000">
      <w:pPr>
        <w:spacing w:after="160" w:line="300" w:lineRule="auto"/>
      </w:pPr>
      <w:r>
        <w:t xml:space="preserve">Three additional limitations are worth naming. </w:t>
      </w:r>
      <w:r>
        <w:rPr>
          <w:b/>
          <w:bCs/>
        </w:rPr>
        <w:t>(i) Dataset size.</w:t>
      </w:r>
      <w:r>
        <w:t xml:space="preserve"> 199 peptides with 5 folds yields ~40 test peptides per fold, which is why standard deviations are non-trivial (AUROC ±0.09–0.14). A single experiment on a different 199-peptide dataset could plausibly land anywhere within these uncertainty bars. </w:t>
      </w:r>
      <w:r>
        <w:rPr>
          <w:b/>
          <w:bCs/>
        </w:rPr>
        <w:t>(ii) BigMHC training overlap.</w:t>
      </w:r>
      <w:r>
        <w:t xml:space="preserve"> As noted above, BigMHC IM’s training data may overlap ITSNdb-sourced records. The reported immunogenicity lift is therefore an upper bound for what BigMHC would contribute on a truly novel neoantigen dataset. </w:t>
      </w:r>
      <w:r>
        <w:rPr>
          <w:b/>
          <w:bCs/>
        </w:rPr>
        <w:t>(iii) Single-structure scope.</w:t>
      </w:r>
      <w:r>
        <w:t xml:space="preserve"> The structural layer evaluated here uses one static relaxed PDB per peptide; we did not fold wild-type counterparts to compute true mutant-vs-WT foreignness, which is the most likely path to non-zero structural signal. The "structure features carry no signal" finding applies to single-static-PDB features specifically, not to structure-based prediction in general.</w:t>
      </w:r>
    </w:p>
    <w:p w14:paraId="240F33B1" w14:textId="77777777" w:rsidR="00BF6F15" w:rsidRDefault="00000000">
      <w:pPr>
        <w:spacing w:after="160" w:line="300" w:lineRule="auto"/>
      </w:pPr>
      <w:r>
        <w:t xml:space="preserve">The next-step external validation is </w:t>
      </w:r>
      <w:r>
        <w:rPr>
          <w:i/>
          <w:iCs/>
        </w:rPr>
        <w:t>TESLA</w:t>
      </w:r>
      <w:r>
        <w:t xml:space="preserve"> (Tumor neoantigen Selection Alliance, ~600 peptides). Running the L3 tuned configuration with frozen weights and frozen thresholds against TESLA would convert this internal validation into a publishable external benchmark. The CV harness developed here runs unmodified on any dataset matching the ITSNdb column schema.</w:t>
      </w:r>
    </w:p>
    <w:p w14:paraId="763EE304" w14:textId="77777777" w:rsidR="00BF6F15" w:rsidRDefault="00000000">
      <w:pPr>
        <w:pStyle w:val="Heading1"/>
      </w:pPr>
      <w:r>
        <w:t>Reproducibility</w:t>
      </w:r>
    </w:p>
    <w:p w14:paraId="659808DC" w14:textId="77777777" w:rsidR="00BF6F15" w:rsidRDefault="00000000">
      <w:pPr>
        <w:spacing w:after="160" w:line="300" w:lineRule="auto"/>
      </w:pPr>
      <w:r>
        <w:t>All code, cached per-peptide layer scores, and per-fold JSON outputs are version-controlled. The full pipeline can be reproduced from a clean clone with: (1) Docker for NeoaPred PepConf folding, (2) MHCflurry 2.0 with downloaded models, (3) BigMHC repository for the immunogenicity layer, and (4) NCBI E-utilities API access for the literature layer (with API key recommended for higher rate limits). The benchmark cache (.json per peptide) lets all ablation, weight-sweep, and CV analyses re-run in seconds without recomputing predictions.</w:t>
      </w:r>
    </w:p>
    <w:p w14:paraId="1498DC3B" w14:textId="77777777" w:rsidR="00BF6F15" w:rsidRDefault="00000000">
      <w:pPr>
        <w:spacing w:before="480"/>
        <w:jc w:val="center"/>
      </w:pPr>
      <w:r>
        <w:rPr>
          <w:i/>
          <w:iCs/>
          <w:color w:val="8C8C8C"/>
          <w:sz w:val="18"/>
          <w:szCs w:val="18"/>
        </w:rPr>
        <w:t>— End of methodology —</w:t>
      </w:r>
    </w:p>
    <w:sectPr w:rsidR="00BF6F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2930"/>
    <w:multiLevelType w:val="hybridMultilevel"/>
    <w:tmpl w:val="98CA1F10"/>
    <w:lvl w:ilvl="0" w:tplc="EB581B94">
      <w:start w:val="1"/>
      <w:numFmt w:val="bullet"/>
      <w:lvlText w:val="●"/>
      <w:lvlJc w:val="left"/>
      <w:pPr>
        <w:ind w:left="720" w:hanging="360"/>
      </w:pPr>
    </w:lvl>
    <w:lvl w:ilvl="1" w:tplc="7E4A83C6">
      <w:start w:val="1"/>
      <w:numFmt w:val="bullet"/>
      <w:lvlText w:val="○"/>
      <w:lvlJc w:val="left"/>
      <w:pPr>
        <w:ind w:left="1440" w:hanging="360"/>
      </w:pPr>
    </w:lvl>
    <w:lvl w:ilvl="2" w:tplc="DE0AE39C">
      <w:start w:val="1"/>
      <w:numFmt w:val="bullet"/>
      <w:lvlText w:val="■"/>
      <w:lvlJc w:val="left"/>
      <w:pPr>
        <w:ind w:left="2160" w:hanging="360"/>
      </w:pPr>
    </w:lvl>
    <w:lvl w:ilvl="3" w:tplc="53CC346A">
      <w:start w:val="1"/>
      <w:numFmt w:val="bullet"/>
      <w:lvlText w:val="●"/>
      <w:lvlJc w:val="left"/>
      <w:pPr>
        <w:ind w:left="2880" w:hanging="360"/>
      </w:pPr>
    </w:lvl>
    <w:lvl w:ilvl="4" w:tplc="1FEC1FDC">
      <w:start w:val="1"/>
      <w:numFmt w:val="bullet"/>
      <w:lvlText w:val="○"/>
      <w:lvlJc w:val="left"/>
      <w:pPr>
        <w:ind w:left="3600" w:hanging="360"/>
      </w:pPr>
    </w:lvl>
    <w:lvl w:ilvl="5" w:tplc="C51EC030">
      <w:start w:val="1"/>
      <w:numFmt w:val="bullet"/>
      <w:lvlText w:val="■"/>
      <w:lvlJc w:val="left"/>
      <w:pPr>
        <w:ind w:left="4320" w:hanging="360"/>
      </w:pPr>
    </w:lvl>
    <w:lvl w:ilvl="6" w:tplc="A43E4D74">
      <w:start w:val="1"/>
      <w:numFmt w:val="bullet"/>
      <w:lvlText w:val="●"/>
      <w:lvlJc w:val="left"/>
      <w:pPr>
        <w:ind w:left="5040" w:hanging="360"/>
      </w:pPr>
    </w:lvl>
    <w:lvl w:ilvl="7" w:tplc="E754071E">
      <w:start w:val="1"/>
      <w:numFmt w:val="bullet"/>
      <w:lvlText w:val="●"/>
      <w:lvlJc w:val="left"/>
      <w:pPr>
        <w:ind w:left="5760" w:hanging="360"/>
      </w:pPr>
    </w:lvl>
    <w:lvl w:ilvl="8" w:tplc="896A3C38">
      <w:start w:val="1"/>
      <w:numFmt w:val="bullet"/>
      <w:lvlText w:val="●"/>
      <w:lvlJc w:val="left"/>
      <w:pPr>
        <w:ind w:left="6480" w:hanging="360"/>
      </w:pPr>
    </w:lvl>
  </w:abstractNum>
  <w:abstractNum w:abstractNumId="1" w15:restartNumberingAfterBreak="0">
    <w:nsid w:val="3B8E6808"/>
    <w:multiLevelType w:val="hybridMultilevel"/>
    <w:tmpl w:val="920AFDD0"/>
    <w:lvl w:ilvl="0" w:tplc="D156625C">
      <w:start w:val="1"/>
      <w:numFmt w:val="bullet"/>
      <w:lvlText w:val="•"/>
      <w:lvlJc w:val="left"/>
      <w:pPr>
        <w:ind w:left="720" w:hanging="360"/>
      </w:pPr>
    </w:lvl>
    <w:lvl w:ilvl="1" w:tplc="0002ABD6">
      <w:numFmt w:val="decimal"/>
      <w:lvlText w:val=""/>
      <w:lvlJc w:val="left"/>
    </w:lvl>
    <w:lvl w:ilvl="2" w:tplc="9D36C160">
      <w:numFmt w:val="decimal"/>
      <w:lvlText w:val=""/>
      <w:lvlJc w:val="left"/>
    </w:lvl>
    <w:lvl w:ilvl="3" w:tplc="248C5542">
      <w:numFmt w:val="decimal"/>
      <w:lvlText w:val=""/>
      <w:lvlJc w:val="left"/>
    </w:lvl>
    <w:lvl w:ilvl="4" w:tplc="336C3C6E">
      <w:numFmt w:val="decimal"/>
      <w:lvlText w:val=""/>
      <w:lvlJc w:val="left"/>
    </w:lvl>
    <w:lvl w:ilvl="5" w:tplc="D8CCB68E">
      <w:numFmt w:val="decimal"/>
      <w:lvlText w:val=""/>
      <w:lvlJc w:val="left"/>
    </w:lvl>
    <w:lvl w:ilvl="6" w:tplc="FAE26A18">
      <w:numFmt w:val="decimal"/>
      <w:lvlText w:val=""/>
      <w:lvlJc w:val="left"/>
    </w:lvl>
    <w:lvl w:ilvl="7" w:tplc="A880A718">
      <w:numFmt w:val="decimal"/>
      <w:lvlText w:val=""/>
      <w:lvlJc w:val="left"/>
    </w:lvl>
    <w:lvl w:ilvl="8" w:tplc="C2D05404">
      <w:numFmt w:val="decimal"/>
      <w:lvlText w:val=""/>
      <w:lvlJc w:val="left"/>
    </w:lvl>
  </w:abstractNum>
  <w:num w:numId="1" w16cid:durableId="1417510666">
    <w:abstractNumId w:val="0"/>
    <w:lvlOverride w:ilvl="0">
      <w:startOverride w:val="1"/>
    </w:lvlOverride>
  </w:num>
  <w:num w:numId="2" w16cid:durableId="9546805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F15"/>
    <w:rsid w:val="00480550"/>
    <w:rsid w:val="00BF6F15"/>
    <w:rsid w:val="00C85193"/>
    <w:rsid w:val="00E4437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EA469A3"/>
  <w15:docId w15:val="{4FAC789D-8F77-584D-B3F0-53A8BA76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semiHidden/>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Kumar (MSc Bioinformatics FT (Dubai))</cp:lastModifiedBy>
  <cp:revision>2</cp:revision>
  <dcterms:created xsi:type="dcterms:W3CDTF">2026-05-30T13:11:00Z</dcterms:created>
  <dcterms:modified xsi:type="dcterms:W3CDTF">2026-05-30T14:01:00Z</dcterms:modified>
</cp:coreProperties>
</file>