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thodology"/>
    <w:p>
      <w:pPr>
        <w:pStyle w:val="Heading1"/>
      </w:pPr>
      <w:r>
        <w:t xml:space="preserve">Methodology</w:t>
      </w:r>
    </w:p>
    <w:bookmarkStart w:id="1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chapter describes the</w:t>
      </w:r>
      <w:r>
        <w:t xml:space="preserve"> </w:t>
      </w:r>
      <w:r>
        <w:rPr>
          <w:b/>
          <w:bCs/>
        </w:rPr>
        <w:t xml:space="preserve">research approach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project methodology</w:t>
      </w:r>
      <w:r>
        <w:t xml:space="preserve"> </w:t>
      </w:r>
      <w:r>
        <w:t xml:space="preserve">used to develop and assess the</w:t>
      </w:r>
      <w:r>
        <w:t xml:space="preserve"> </w:t>
      </w:r>
      <w:r>
        <w:rPr>
          <w:b/>
          <w:bCs/>
        </w:rPr>
        <w:t xml:space="preserve">Secure Chat Application</w:t>
      </w:r>
      <w:r>
        <w:t xml:space="preserve"> </w:t>
      </w:r>
      <w:r>
        <w:t xml:space="preserve">as a final-year undergraduate artefact. The account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align with the requirements narrative in</w:t>
      </w:r>
      <w:r>
        <w:t xml:space="preserve"> </w:t>
      </w:r>
      <w:hyperlink r:id="rId9">
        <w:r>
          <w:rPr>
            <w:rStyle w:val="VerbatimChar"/>
          </w:rPr>
          <w:t xml:space="preserve">../academic-requirements-gathering.md</w:t>
        </w:r>
      </w:hyperlink>
      <w:r>
        <w:t xml:space="preserve">:</w:t>
      </w:r>
      <w:r>
        <w:t xml:space="preserve"> </w:t>
      </w:r>
      <w:r>
        <w:rPr>
          <w:b/>
          <w:bCs/>
        </w:rPr>
        <w:t xml:space="preserve">stakeholder-led elicitation</w:t>
      </w:r>
      <w:r>
        <w:t xml:space="preserve"> </w:t>
      </w:r>
      <w:r>
        <w:t xml:space="preserve">first, followed by</w:t>
      </w:r>
      <w:r>
        <w:t xml:space="preserve"> </w:t>
      </w:r>
      <w:r>
        <w:rPr>
          <w:b/>
          <w:bCs/>
        </w:rPr>
        <w:t xml:space="preserve">consolidation</w:t>
      </w:r>
      <w:r>
        <w:t xml:space="preserve">,</w:t>
      </w:r>
      <w:r>
        <w:t xml:space="preserve"> </w:t>
      </w:r>
      <w:r>
        <w:rPr>
          <w:b/>
          <w:bCs/>
        </w:rPr>
        <w:t xml:space="preserve">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technical validation</w:t>
      </w:r>
      <w:r>
        <w:t xml:space="preserve"> </w:t>
      </w:r>
      <w:r>
        <w:t xml:space="preserve">against a reference implementation in</w:t>
      </w:r>
      <w:r>
        <w:t xml:space="preserve"> </w:t>
      </w:r>
      <w:hyperlink r:id="rId10">
        <w:r>
          <w:rPr>
            <w:rStyle w:val="VerbatimChar"/>
          </w:rPr>
          <w:t xml:space="preserve">examples/SecureChatApp/</w:t>
        </w:r>
      </w:hyperlink>
      <w:r>
        <w:t xml:space="preserve">. Downstream chapters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document specification (</w:t>
      </w:r>
      <w:r>
        <w:rPr>
          <w:b/>
          <w:bCs/>
        </w:rPr>
        <w:t xml:space="preserve">Chapter 4</w:t>
      </w:r>
      <w:r>
        <w:t xml:space="preserve">), design (</w:t>
      </w:r>
      <w:r>
        <w:rPr>
          <w:b/>
          <w:bCs/>
        </w:rPr>
        <w:t xml:space="preserve">Chapter 5</w:t>
      </w:r>
      <w:r>
        <w:t xml:space="preserve">), implementation (</w:t>
      </w:r>
      <w:r>
        <w:rPr>
          <w:b/>
          <w:bCs/>
        </w:rPr>
        <w:t xml:space="preserve">Chapter 6</w:t>
      </w:r>
      <w:r>
        <w:t xml:space="preserve">), testing (</w:t>
      </w:r>
      <w:r>
        <w:rPr>
          <w:b/>
          <w:bCs/>
        </w:rPr>
        <w:t xml:space="preserve">Chapter 7</w:t>
      </w:r>
      <w:r>
        <w:t xml:space="preserve">), discussion and conclusion (</w:t>
      </w:r>
      <w:r>
        <w:rPr>
          <w:b/>
          <w:bCs/>
        </w:rPr>
        <w:t xml:space="preserve">Chapters 8–9</w:t>
      </w:r>
      <w:r>
        <w:t xml:space="preserve">), references (</w:t>
      </w:r>
      <w:r>
        <w:rPr>
          <w:b/>
          <w:bCs/>
        </w:rPr>
        <w:t xml:space="preserve">Chapter 10</w:t>
      </w:r>
      <w:r>
        <w:t xml:space="preserve">), and appendices (</w:t>
      </w:r>
      <w:r>
        <w:rPr>
          <w:b/>
          <w:bCs/>
        </w:rPr>
        <w:t xml:space="preserve">Chapter 11</w:t>
      </w:r>
      <w:r>
        <w:t xml:space="preserve">).</w:t>
      </w:r>
    </w:p>
    <w:p>
      <w:pPr>
        <w:pStyle w:val="BodyText"/>
      </w:pPr>
      <w:r>
        <w:t xml:space="preserve">Where activities remain</w:t>
      </w:r>
      <w:r>
        <w:t xml:space="preserve"> </w:t>
      </w:r>
      <w:r>
        <w:rPr>
          <w:b/>
          <w:bCs/>
        </w:rPr>
        <w:t xml:space="preserve">in progress</w:t>
      </w:r>
      <w:r>
        <w:t xml:space="preserve">, phrasing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distinguish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(how work</w:t>
      </w:r>
      <w:r>
        <w:t xml:space="preserve"> </w:t>
      </w:r>
      <w:r>
        <w:rPr>
          <w:b/>
          <w:bCs/>
        </w:rPr>
        <w:t xml:space="preserve">will be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conducted) from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(reported in evaluation and later chapters).</w:t>
      </w:r>
    </w:p>
    <w:p>
      <w:pPr>
        <w:pStyle w:val="BodyText"/>
      </w:pPr>
      <w:r>
        <w:t xml:space="preserve">Traceability from methodology subsections to later chapters appears in</w:t>
      </w:r>
      <w:r>
        <w:t xml:space="preserve"> </w:t>
      </w:r>
      <w:hyperlink r:id="rId11">
        <w:r>
          <w:rPr>
            <w:rStyle w:val="VerbatimChar"/>
          </w:rPr>
          <w:t xml:space="preserve">academic-requirements-traceability-methodology.md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research-approach"/>
    <w:p>
      <w:pPr>
        <w:pStyle w:val="Heading2"/>
      </w:pPr>
      <w:r>
        <w:t xml:space="preserve">3.1 Research approach</w:t>
      </w:r>
    </w:p>
    <w:p>
      <w:pPr>
        <w:pStyle w:val="FirstParagraph"/>
      </w:pPr>
      <w:r>
        <w:t xml:space="preserve">The inquiry</w:t>
      </w:r>
      <w:r>
        <w:t xml:space="preserve"> </w:t>
      </w:r>
      <w:r>
        <w:rPr>
          <w:b/>
          <w:bCs/>
        </w:rPr>
        <w:t xml:space="preserve">combines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Qualitative, participatory elicitation</w:t>
      </w:r>
      <w:r>
        <w:t xml:space="preserve"> </w:t>
      </w:r>
      <w:r>
        <w:t xml:space="preserve">— workshops, semi-structured interviews, and observation of tasks or comparable applications, in order to capture user and sponsor expectations before formalising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artefact review</w:t>
      </w:r>
      <w:r>
        <w:t xml:space="preserve"> </w:t>
      </w:r>
      <w:r>
        <w:t xml:space="preserve">— structured examination of the reference codebase, configuration, and dependencies to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feasibility, attach</w:t>
      </w:r>
      <w:r>
        <w:t xml:space="preserve"> </w:t>
      </w:r>
      <w:r>
        <w:rPr>
          <w:b/>
          <w:bCs/>
        </w:rPr>
        <w:t xml:space="preserve">evidence paths</w:t>
      </w:r>
      <w:r>
        <w:t xml:space="preserve">, and avoid purely speculative requirements.</w:t>
      </w:r>
    </w:p>
    <w:p>
      <w:pPr>
        <w:pStyle w:val="FirstParagraph"/>
      </w:pPr>
      <w:r>
        <w:t xml:space="preserve">This mixed approach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suit a</w:t>
      </w:r>
      <w:r>
        <w:t xml:space="preserve"> </w:t>
      </w:r>
      <w:r>
        <w:rPr>
          <w:b/>
          <w:bCs/>
        </w:rPr>
        <w:t xml:space="preserve">software-building</w:t>
      </w:r>
      <w:r>
        <w:t xml:space="preserve"> </w:t>
      </w:r>
      <w:r>
        <w:t xml:space="preserve">project where the deliverable is a</w:t>
      </w:r>
      <w:r>
        <w:t xml:space="preserve"> </w:t>
      </w:r>
      <w:r>
        <w:rPr>
          <w:b/>
          <w:bCs/>
        </w:rPr>
        <w:t xml:space="preserve">mobile client</w:t>
      </w:r>
      <w:r>
        <w:t xml:space="preserve"> </w:t>
      </w:r>
      <w:r>
        <w:t xml:space="preserve">integrating vendor services (CometChat, Firebase, platform APIs) rather than a hypothesis tested by controlled experiments with large samples. Generalisation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limited</w:t>
      </w:r>
      <w:r>
        <w:t xml:space="preserve"> </w:t>
      </w:r>
      <w:r>
        <w:t xml:space="preserve">by design; limits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stated in §3.7 and revisited in Chapters 7–8.</w:t>
      </w:r>
    </w:p>
    <w:p>
      <w:r>
        <w:pict>
          <v:rect style="width:0;height:1.5pt" o:hralign="center" o:hrstd="t" o:hr="t"/>
        </w:pict>
      </w:r>
    </w:p>
    <w:bookmarkEnd w:id="13"/>
    <w:bookmarkStart w:id="14" w:name="project-methodology"/>
    <w:p>
      <w:pPr>
        <w:pStyle w:val="Heading2"/>
      </w:pPr>
      <w:r>
        <w:t xml:space="preserve">3.2 Project methodology</w:t>
      </w:r>
    </w:p>
    <w:p>
      <w:pPr>
        <w:pStyle w:val="FirstParagraph"/>
      </w:pPr>
      <w:r>
        <w:t xml:space="preserve">The project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a</w:t>
      </w:r>
      <w:r>
        <w:t xml:space="preserve"> </w:t>
      </w:r>
      <w:r>
        <w:rPr>
          <w:b/>
          <w:bCs/>
        </w:rPr>
        <w:t xml:space="preserve">phased</w:t>
      </w:r>
      <w:r>
        <w:t xml:space="preserve"> </w:t>
      </w:r>
      <w:r>
        <w:t xml:space="preserve">structure aligned with the thesis outline: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96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Report mapping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Elicitation and consolidation</w:t>
            </w:r>
          </w:p>
        </w:tc>
        <w:tc>
          <w:tcPr/>
          <w:p>
            <w:pPr>
              <w:pStyle w:val="Compact"/>
            </w:pPr>
            <w:r>
              <w:t xml:space="preserve">Informs Chapter 4 (gathering themes)</w:t>
            </w:r>
          </w:p>
        </w:tc>
        <w:tc>
          <w:tcPr/>
          <w:p>
            <w:pPr>
              <w:pStyle w:val="Compact"/>
            </w:pPr>
            <w:r>
              <w:t xml:space="preserve">Capture needs and priorities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analysis and specification</w:t>
            </w:r>
          </w:p>
        </w:tc>
        <w:tc>
          <w:tcPr/>
          <w:p>
            <w:pPr>
              <w:pStyle w:val="Compact"/>
            </w:pPr>
            <w:r>
              <w:t xml:space="preserve">Chapter 4 (analysis, FR/NFR)</w:t>
            </w:r>
          </w:p>
        </w:tc>
        <w:tc>
          <w:tcPr/>
          <w:p>
            <w:pPr>
              <w:pStyle w:val="Compact"/>
            </w:pPr>
            <w:r>
              <w:t xml:space="preserve">Formalise obligations and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design</w:t>
            </w:r>
          </w:p>
        </w:tc>
        <w:tc>
          <w:tcPr/>
          <w:p>
            <w:pPr>
              <w:pStyle w:val="Compact"/>
            </w:pPr>
            <w:r>
              <w:t xml:space="preserve">Chapter 5</w:t>
            </w:r>
          </w:p>
        </w:tc>
        <w:tc>
          <w:tcPr/>
          <w:p>
            <w:pPr>
              <w:pStyle w:val="Compact"/>
            </w:pPr>
            <w:r>
              <w:t xml:space="preserve">Define intended architecture and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Chapter 6</w:t>
            </w:r>
          </w:p>
        </w:tc>
        <w:tc>
          <w:tcPr/>
          <w:p>
            <w:pPr>
              <w:pStyle w:val="Compact"/>
            </w:pPr>
            <w:r>
              <w:t xml:space="preserve">Realise the design in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and evaluation</w:t>
            </w:r>
          </w:p>
        </w:tc>
        <w:tc>
          <w:tcPr/>
          <w:p>
            <w:pPr>
              <w:pStyle w:val="Compact"/>
            </w:pPr>
            <w:r>
              <w:t xml:space="preserve">Chapter 7</w:t>
            </w:r>
          </w:p>
        </w:tc>
        <w:tc>
          <w:tcPr/>
          <w:p>
            <w:pPr>
              <w:pStyle w:val="Compact"/>
            </w:pPr>
            <w:r>
              <w:t xml:space="preserve">Verify against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 and conclusion</w:t>
            </w:r>
          </w:p>
        </w:tc>
        <w:tc>
          <w:tcPr/>
          <w:p>
            <w:pPr>
              <w:pStyle w:val="Compact"/>
            </w:pPr>
            <w:r>
              <w:t xml:space="preserve">Chapters 8–9</w:t>
            </w:r>
          </w:p>
        </w:tc>
        <w:tc>
          <w:tcPr/>
          <w:p>
            <w:pPr>
              <w:pStyle w:val="Compact"/>
            </w:pPr>
            <w:r>
              <w:t xml:space="preserve">Interpret results and state contributions</w:t>
            </w:r>
          </w:p>
        </w:tc>
      </w:tr>
    </w:tbl>
    <w:p>
      <w:pPr>
        <w:pStyle w:val="BodyText"/>
      </w:pPr>
      <w:r>
        <w:t xml:space="preserve">Iterations between implementation and specification are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when discovery reveals gaps; the report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present a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sequence even if the work</w:t>
      </w:r>
      <w:r>
        <w:t xml:space="preserve"> </w:t>
      </w:r>
      <w:r>
        <w:rPr>
          <w:b/>
          <w:bCs/>
        </w:rPr>
        <w:t xml:space="preserve">revisits</w:t>
      </w:r>
      <w:r>
        <w:t xml:space="preserve"> </w:t>
      </w:r>
      <w:r>
        <w:t xml:space="preserve">earlier steps.</w:t>
      </w:r>
    </w:p>
    <w:p>
      <w:r>
        <w:pict>
          <v:rect style="width:0;height:1.5pt" o:hralign="center" o:hrstd="t" o:hr="t"/>
        </w:pict>
      </w:r>
    </w:p>
    <w:bookmarkEnd w:id="14"/>
    <w:bookmarkStart w:id="15" w:name="data-collection-methods"/>
    <w:p>
      <w:pPr>
        <w:pStyle w:val="Heading2"/>
      </w:pPr>
      <w:r>
        <w:t xml:space="preserve">3.3 Data collection methods</w:t>
      </w:r>
    </w:p>
    <w:p>
      <w:pPr>
        <w:pStyle w:val="FirstParagraph"/>
      </w:pPr>
      <w:r>
        <w:rPr>
          <w:b/>
          <w:bCs/>
        </w:rPr>
        <w:t xml:space="preserve">Primary data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include facilitator notes and summaries from</w:t>
      </w:r>
      <w:r>
        <w:t xml:space="preserve"> </w:t>
      </w:r>
      <w:r>
        <w:rPr>
          <w:b/>
          <w:bCs/>
        </w:rPr>
        <w:t xml:space="preserve">workshops</w:t>
      </w:r>
      <w:r>
        <w:t xml:space="preserve">,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t xml:space="preserve">responses, and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memos, synthesised into candidate requirements before analysis.</w:t>
      </w:r>
    </w:p>
    <w:p>
      <w:pPr>
        <w:pStyle w:val="BodyText"/>
      </w:pPr>
      <w:r>
        <w:rPr>
          <w:b/>
          <w:bCs/>
        </w:rPr>
        <w:t xml:space="preserve">Secondary validation data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include</w:t>
      </w:r>
      <w:r>
        <w:t xml:space="preserve"> </w:t>
      </w:r>
      <w:r>
        <w:rPr>
          <w:b/>
          <w:bCs/>
        </w:rPr>
        <w:t xml:space="preserve">repository artefacts</w:t>
      </w:r>
      <w:r>
        <w:t xml:space="preserve">: source files under</w:t>
      </w:r>
      <w:r>
        <w:t xml:space="preserve"> </w:t>
      </w:r>
      <w:hyperlink r:id="rId10">
        <w:r>
          <w:rPr>
            <w:rStyle w:val="VerbatimChar"/>
          </w:rPr>
          <w:t xml:space="preserve">examples/SecureChatApp/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builder configuration JSON, and README material. These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support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from requirement identifiers to concrete paths, consistent with Chapter 4 and Appendix 11.3.</w:t>
      </w:r>
    </w:p>
    <w:p>
      <w:pPr>
        <w:pStyle w:val="BodyText"/>
      </w:pPr>
      <w:r>
        <w:rPr>
          <w:b/>
          <w:bCs/>
        </w:rPr>
        <w:t xml:space="preserve">Quantitative</w:t>
      </w:r>
      <w:r>
        <w:t xml:space="preserve"> </w:t>
      </w:r>
      <w:r>
        <w:t xml:space="preserve">survey instruments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positioned as the main engine of requirements capture for this project; any informal numeric prioritisation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subordinate to thematic synthesis and supervisor-led scope decisions.</w:t>
      </w:r>
    </w:p>
    <w:p>
      <w:r>
        <w:pict>
          <v:rect style="width:0;height:1.5pt" o:hralign="center" o:hrstd="t" o:hr="t"/>
        </w:pict>
      </w:r>
    </w:p>
    <w:bookmarkEnd w:id="15"/>
    <w:bookmarkStart w:id="18" w:name="tools-and-technologies-used"/>
    <w:p>
      <w:pPr>
        <w:pStyle w:val="Heading2"/>
      </w:pPr>
      <w:r>
        <w:t xml:space="preserve">3.4 Tools and technologies used</w:t>
      </w:r>
    </w:p>
    <w:p>
      <w:pPr>
        <w:pStyle w:val="FirstParagraph"/>
      </w:pPr>
      <w:r>
        <w:t xml:space="preserve">Development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target a</w:t>
      </w:r>
      <w:r>
        <w:t xml:space="preserve"> </w:t>
      </w:r>
      <w:r>
        <w:rPr>
          <w:b/>
          <w:bCs/>
        </w:rPr>
        <w:t xml:space="preserve">cross-platform</w:t>
      </w:r>
      <w:r>
        <w:t xml:space="preserve"> </w:t>
      </w:r>
      <w:r>
        <w:rPr>
          <w:b/>
          <w:bCs/>
        </w:rPr>
        <w:t xml:space="preserve">Expo</w:t>
      </w:r>
      <w:r>
        <w:t xml:space="preserve"> </w:t>
      </w:r>
      <w:r>
        <w:t xml:space="preserve">workflow with the</w:t>
      </w:r>
      <w:r>
        <w:t xml:space="preserve"> </w:t>
      </w:r>
      <w:r>
        <w:rPr>
          <w:b/>
          <w:bCs/>
        </w:rPr>
        <w:t xml:space="preserve">development client</w:t>
      </w:r>
      <w:r>
        <w:t xml:space="preserve"> </w:t>
      </w:r>
      <w:r>
        <w:t xml:space="preserve">so that native modules (push, calls, WebRTC-related components)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usable. The stack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centre on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,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UIKit and SDKs,</w:t>
      </w:r>
      <w:r>
        <w:t xml:space="preserve"> </w:t>
      </w:r>
      <w:r>
        <w:rPr>
          <w:b/>
          <w:bCs/>
        </w:rPr>
        <w:t xml:space="preserve">React Navigation</w:t>
      </w:r>
      <w:r>
        <w:t xml:space="preserve">,</w:t>
      </w:r>
      <w:r>
        <w:t xml:space="preserve"> </w:t>
      </w:r>
      <w:r>
        <w:rPr>
          <w:b/>
          <w:bCs/>
        </w:rPr>
        <w:t xml:space="preserve">Firebase</w:t>
      </w:r>
      <w:r>
        <w:t xml:space="preserve"> </w:t>
      </w:r>
      <w:r>
        <w:t xml:space="preserve">messaging integration,</w:t>
      </w:r>
      <w:r>
        <w:t xml:space="preserve"> </w:t>
      </w:r>
      <w:r>
        <w:rPr>
          <w:b/>
          <w:bCs/>
        </w:rPr>
        <w:t xml:space="preserve">Notifee</w:t>
      </w:r>
      <w:r>
        <w:t xml:space="preserve"> </w:t>
      </w:r>
      <w:r>
        <w:t xml:space="preserve">(and platform notification APIs),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AsyncStorage</w:t>
      </w:r>
      <w:r>
        <w:t xml:space="preserve"> </w:t>
      </w:r>
      <w:r>
        <w:t xml:space="preserve">for client state, and</w:t>
      </w:r>
      <w:r>
        <w:t xml:space="preserve"> </w:t>
      </w:r>
      <w:r>
        <w:rPr>
          <w:b/>
          <w:bCs/>
        </w:rPr>
        <w:t xml:space="preserve">patch-package</w:t>
      </w:r>
      <w:r>
        <w:t xml:space="preserve"> </w:t>
      </w:r>
      <w:r>
        <w:t xml:space="preserve">where vendor fixes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required. Representative version pins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taken from</w:t>
      </w:r>
      <w:r>
        <w:t xml:space="preserve"> </w:t>
      </w:r>
      <w:hyperlink r:id="rId16">
        <w:r>
          <w:rPr>
            <w:rStyle w:val="VerbatimChar"/>
          </w:rPr>
          <w:t xml:space="preserve">examples/SecureChatApp/package.json</w:t>
        </w:r>
      </w:hyperlink>
      <w:r>
        <w:t xml:space="preserve"> </w:t>
      </w:r>
      <w:r>
        <w:t xml:space="preserve">at submission time.</w:t>
      </w:r>
    </w:p>
    <w:p>
      <w:pPr>
        <w:pStyle w:val="BodyText"/>
      </w:pPr>
      <w:r>
        <w:t xml:space="preserve">Official documentation URLs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consolidated in</w:t>
      </w:r>
      <w:r>
        <w:t xml:space="preserve"> </w:t>
      </w:r>
      <w:hyperlink r:id="rId17">
        <w:r>
          <w:rPr>
            <w:rStyle w:val="VerbatimChar"/>
          </w:rPr>
          <w:t xml:space="preserve">../references/academic-references.md</w:t>
        </w:r>
      </w:hyperlink>
      <w:r>
        <w:t xml:space="preserve"> </w:t>
      </w:r>
      <w:r>
        <w:t xml:space="preserve">(Chapter 10).</w:t>
      </w:r>
    </w:p>
    <w:p>
      <w:r>
        <w:pict>
          <v:rect style="width:0;height:1.5pt" o:hralign="center" o:hrstd="t" o:hr="t"/>
        </w:pict>
      </w:r>
    </w:p>
    <w:bookmarkEnd w:id="18"/>
    <w:bookmarkStart w:id="19" w:name="repository-analysis-approach"/>
    <w:p>
      <w:pPr>
        <w:pStyle w:val="Heading2"/>
      </w:pPr>
      <w:r>
        <w:t xml:space="preserve">3.5 Repository analysis approach</w:t>
      </w:r>
    </w:p>
    <w:p>
      <w:pPr>
        <w:pStyle w:val="FirstParagraph"/>
      </w:pPr>
      <w:r>
        <w:t xml:space="preserve">Technical validation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proceed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elicitation themes exist, not as a substitute for them. The student</w:t>
      </w:r>
      <w:r>
        <w:t xml:space="preserve"> </w:t>
      </w:r>
      <w:r>
        <w:rPr>
          <w:b/>
          <w:bCs/>
        </w:rPr>
        <w:t xml:space="preserve">will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Map major</w:t>
      </w:r>
      <w:r>
        <w:t xml:space="preserve"> </w:t>
      </w:r>
      <w:r>
        <w:rPr>
          <w:b/>
          <w:bCs/>
        </w:rPr>
        <w:t xml:space="preserve">folders</w:t>
      </w:r>
      <w:r>
        <w:t xml:space="preserve"> </w:t>
      </w:r>
      <w:r>
        <w:t xml:space="preserve">(application shell, navigation, configuration store, feature components, utilities for push and VoIP) to</w:t>
      </w:r>
      <w:r>
        <w:t xml:space="preserve"> </w:t>
      </w:r>
      <w:r>
        <w:rPr>
          <w:b/>
          <w:bCs/>
        </w:rPr>
        <w:t xml:space="preserve">obligation clusters</w:t>
      </w:r>
      <w:r>
        <w:t xml:space="preserve"> </w:t>
      </w:r>
      <w:r>
        <w:t xml:space="preserve">in the requirements catalogue.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manifest</w:t>
      </w:r>
      <w:r>
        <w:t xml:space="preserve"> </w:t>
      </w:r>
      <w:r>
        <w:t xml:space="preserve">data to interpret platform permissions and capabilities relevant to calls and notifications.</w:t>
      </w:r>
    </w:p>
    <w:p>
      <w:pPr>
        <w:pStyle w:val="Compact"/>
        <w:numPr>
          <w:ilvl w:val="0"/>
          <w:numId w:val="1002"/>
        </w:numPr>
      </w:pPr>
      <w:r>
        <w:t xml:space="preserve">Record</w:t>
      </w:r>
      <w:r>
        <w:t xml:space="preserve"> </w:t>
      </w:r>
      <w:r>
        <w:rPr>
          <w:b/>
          <w:bCs/>
        </w:rPr>
        <w:t xml:space="preserve">evidence paths</w:t>
      </w:r>
      <w:r>
        <w:t xml:space="preserve"> </w:t>
      </w:r>
      <w:r>
        <w:t xml:space="preserve">in requirement records for academic auditability.</w:t>
      </w:r>
    </w:p>
    <w:p>
      <w:pPr>
        <w:pStyle w:val="FirstParagraph"/>
      </w:pPr>
      <w:r>
        <w:t xml:space="preserve">The analysis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insight into</w:t>
      </w:r>
      <w:r>
        <w:t xml:space="preserve"> </w:t>
      </w:r>
      <w:r>
        <w:rPr>
          <w:b/>
          <w:bCs/>
        </w:rPr>
        <w:t xml:space="preserve">CometChat server-side</w:t>
      </w:r>
      <w:r>
        <w:t xml:space="preserve"> </w:t>
      </w:r>
      <w:r>
        <w:t xml:space="preserve">internals beyond what public APIs and documentation support (</w:t>
      </w:r>
      <w:r>
        <w:rPr>
          <w:b/>
          <w:bCs/>
        </w:rPr>
        <w:t xml:space="preserve">NFR-011</w:t>
      </w:r>
      <w:r>
        <w:t xml:space="preserve">). Vendor cloud behaviour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treated as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to this project’s methodology.</w:t>
      </w:r>
    </w:p>
    <w:p>
      <w:r>
        <w:pict>
          <v:rect style="width:0;height:1.5pt" o:hralign="center" o:hrstd="t" o:hr="t"/>
        </w:pict>
      </w:r>
    </w:p>
    <w:bookmarkEnd w:id="19"/>
    <w:bookmarkStart w:id="20" w:name="ethical-considerations"/>
    <w:p>
      <w:pPr>
        <w:pStyle w:val="Heading2"/>
      </w:pPr>
      <w:r>
        <w:t xml:space="preserve">3.6 Ethical considerations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Participants</w:t>
      </w:r>
      <w:r>
        <w:t xml:space="preserve"> </w:t>
      </w:r>
      <w:r>
        <w:t xml:space="preserve">in workshops or interviews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informed of the</w:t>
      </w:r>
      <w:r>
        <w:t xml:space="preserve"> </w:t>
      </w:r>
      <w:r>
        <w:rPr>
          <w:b/>
          <w:bCs/>
        </w:rPr>
        <w:t xml:space="preserve">academic purpose</w:t>
      </w:r>
      <w:r>
        <w:t xml:space="preserve">; notes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handled responsibly and anonymised in reporting where appropriate.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Credentials</w:t>
      </w:r>
      <w:r>
        <w:t xml:space="preserve"> </w:t>
      </w:r>
      <w:r>
        <w:t xml:space="preserve">for CometChat and Firebase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treated as</w:t>
      </w:r>
      <w:r>
        <w:t xml:space="preserve"> </w:t>
      </w:r>
      <w:r>
        <w:rPr>
          <w:b/>
          <w:bCs/>
        </w:rPr>
        <w:t xml:space="preserve">sensitive</w:t>
      </w:r>
      <w:r>
        <w:t xml:space="preserve">; the thesis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avoid embedding live secrets and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prototype-appropriate storage practices discussed under</w:t>
      </w:r>
      <w:r>
        <w:t xml:space="preserve"> </w:t>
      </w:r>
      <w:r>
        <w:rPr>
          <w:b/>
          <w:bCs/>
        </w:rPr>
        <w:t xml:space="preserve">NFR-005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 and encryption</w:t>
      </w:r>
      <w:r>
        <w:t xml:space="preserve"> </w:t>
      </w:r>
      <w:r>
        <w:t xml:space="preserve">user-facing copy (</w:t>
      </w:r>
      <w:r>
        <w:rPr>
          <w:b/>
          <w:bCs/>
        </w:rPr>
        <w:t xml:space="preserve">FR-017</w:t>
      </w:r>
      <w:r>
        <w:t xml:space="preserve">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honest</w:t>
      </w:r>
      <w:r>
        <w:t xml:space="preserve"> </w:t>
      </w:r>
      <w:r>
        <w:t xml:space="preserve">about what the student application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 (for example bespoke end-to-end cryptography), consistent with Chapters 4 and 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respect platform terms and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not stress third-party services beyond reasonable demonstration needs.</w:t>
      </w:r>
    </w:p>
    <w:p>
      <w:r>
        <w:pict>
          <v:rect style="width:0;height:1.5pt" o:hralign="center" o:hrstd="t" o:hr="t"/>
        </w:pict>
      </w:r>
    </w:p>
    <w:bookmarkEnd w:id="20"/>
    <w:bookmarkStart w:id="21" w:name="limitations-of-the-methodology"/>
    <w:p>
      <w:pPr>
        <w:pStyle w:val="Heading2"/>
      </w:pPr>
      <w:r>
        <w:t xml:space="preserve">3.7 Limitations of the methodology</w:t>
      </w:r>
    </w:p>
    <w:p>
      <w:pPr>
        <w:pStyle w:val="FirstParagraph"/>
      </w:pPr>
      <w:r>
        <w:t xml:space="preserve">The methodology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carry typical</w:t>
      </w:r>
      <w: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for an undergraduate build-and-evaluate project: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Sample size</w:t>
      </w:r>
      <w:r>
        <w:t xml:space="preserve"> </w:t>
      </w:r>
      <w:r>
        <w:t xml:space="preserve">for user input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small</w:t>
      </w:r>
      <w:r>
        <w:t xml:space="preserve">; findings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not be statistically generalised to all mobile users.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rely heavily on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execution and</w:t>
      </w:r>
      <w:r>
        <w:t xml:space="preserve"> </w:t>
      </w:r>
      <w:r>
        <w:rPr>
          <w:b/>
          <w:bCs/>
        </w:rPr>
        <w:t xml:space="preserve">inspection</w:t>
      </w:r>
      <w:r>
        <w:t xml:space="preserve">, consistent with</w:t>
      </w:r>
      <w:r>
        <w:t xml:space="preserve"> </w:t>
      </w:r>
      <w:r>
        <w:rPr>
          <w:b/>
          <w:bCs/>
        </w:rPr>
        <w:t xml:space="preserve">NFR-012</w:t>
      </w:r>
      <w:r>
        <w:t xml:space="preserve"> </w:t>
      </w:r>
      <w:r>
        <w:t xml:space="preserve">and the absence of a primary automated regression suite in the repository (</w:t>
      </w:r>
      <w:r>
        <w:rPr>
          <w:b/>
          <w:bCs/>
        </w:rPr>
        <w:t xml:space="preserve">NFR-010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 dependence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mean that some failures or quirks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sit outside the student’s control; interpretation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distinguish client integration defects from upstream service behaviour.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Time-boxing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limit breadth of device coverage and depth of security analysis.</w:t>
      </w:r>
    </w:p>
    <w:p>
      <w:pPr>
        <w:pStyle w:val="FirstParagraph"/>
      </w:pPr>
      <w:r>
        <w:t xml:space="preserve">These limitations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rPr>
          <w:b/>
          <w:bCs/>
        </w:rPr>
        <w:t xml:space="preserve">foreshadow</w:t>
      </w:r>
      <w:r>
        <w:t xml:space="preserve"> </w:t>
      </w:r>
      <w:r>
        <w:t xml:space="preserve">threats to validity in Chapter 7 and limitations discussion in Chapter 8 without duplicating their final wording.</w:t>
      </w:r>
    </w:p>
    <w:p>
      <w:r>
        <w:pict>
          <v:rect style="width:0;height:1.5pt" o:hralign="center" o:hrstd="t" o:hr="t"/>
        </w:pict>
      </w:r>
    </w:p>
    <w:bookmarkEnd w:id="21"/>
    <w:bookmarkStart w:id="22" w:name="closing-alignment"/>
    <w:p>
      <w:pPr>
        <w:pStyle w:val="Heading2"/>
      </w:pPr>
      <w:r>
        <w:t xml:space="preserve">Closing alignment</w:t>
      </w:r>
    </w:p>
    <w:p>
      <w:pPr>
        <w:pStyle w:val="FirstParagraph"/>
      </w:pPr>
      <w:r>
        <w:t xml:space="preserve">Chapter 3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provide the</w:t>
      </w:r>
      <w:r>
        <w:t xml:space="preserve"> </w:t>
      </w:r>
      <w:r>
        <w:rPr>
          <w:b/>
          <w:bCs/>
        </w:rPr>
        <w:t xml:space="preserve">methodological warrant</w:t>
      </w:r>
      <w:r>
        <w:t xml:space="preserve"> </w:t>
      </w:r>
      <w:r>
        <w:t xml:space="preserve">for Chapters 4–11: how requirements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grounded in stakeholder input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technical evidence, how the stack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chosen, and how evaluation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proportionate to project constraints.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../examples/SecureChatApp/" TargetMode="External" /><Relationship Type="http://schemas.openxmlformats.org/officeDocument/2006/relationships/hyperlink" Id="rId16" Target="../../../examples/SecureChatApp/package.json" TargetMode="External" /><Relationship Type="http://schemas.openxmlformats.org/officeDocument/2006/relationships/hyperlink" Id="rId9" Target="../academic-requirements-gathering.md" TargetMode="External" /><Relationship Type="http://schemas.openxmlformats.org/officeDocument/2006/relationships/hyperlink" Id="rId17" Target="../references/academic-references.md" TargetMode="External" /><Relationship Type="http://schemas.openxmlformats.org/officeDocument/2006/relationships/hyperlink" Id="rId11" Target="academic-requirements-traceability-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../examples/SecureChatApp/" TargetMode="External" /><Relationship Type="http://schemas.openxmlformats.org/officeDocument/2006/relationships/hyperlink" Id="rId16" Target="../../../examples/SecureChatApp/package.json" TargetMode="External" /><Relationship Type="http://schemas.openxmlformats.org/officeDocument/2006/relationships/hyperlink" Id="rId9" Target="../academic-requirements-gathering.md" TargetMode="External" /><Relationship Type="http://schemas.openxmlformats.org/officeDocument/2006/relationships/hyperlink" Id="rId17" Target="../references/academic-references.md" TargetMode="External" /><Relationship Type="http://schemas.openxmlformats.org/officeDocument/2006/relationships/hyperlink" Id="rId11" Target="academic-requirements-traceability-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2026-04-14T08:20:05Z</dcterms:created>
  <dcterms:modified xsi:type="dcterms:W3CDTF">2026-04-14T08:20:05Z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