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quirements-tables-research"/>
    <w:p>
      <w:pPr>
        <w:pStyle w:val="Heading1"/>
      </w:pPr>
      <w:r>
        <w:t xml:space="preserve">Requirements tables (research)</w:t>
      </w:r>
    </w:p>
    <w:p>
      <w:pPr>
        <w:pStyle w:val="FirstParagraph"/>
      </w:pPr>
      <w:r>
        <w:t xml:space="preserve">Single entry point for</w:t>
      </w:r>
      <w:r>
        <w:t xml:space="preserve"> </w:t>
      </w:r>
      <w:r>
        <w:rPr>
          <w:b/>
          <w:bCs/>
        </w:rPr>
        <w:t xml:space="preserve">tabular overviews</w:t>
      </w:r>
      <w:r>
        <w:t xml:space="preserve"> </w:t>
      </w:r>
      <w:r>
        <w:t xml:space="preserve">of all functional and non-functional requirements in the research layer. The same content is embedded in</w:t>
      </w:r>
      <w:r>
        <w:t xml:space="preserve"> </w:t>
      </w:r>
      <w:r>
        <w:rPr>
          <w:b/>
          <w:bCs/>
        </w:rPr>
        <w:t xml:space="preserve">Section 9</w:t>
      </w:r>
      <w:r>
        <w:t xml:space="preserve"> </w:t>
      </w:r>
      <w:r>
        <w:t xml:space="preserve">of</w:t>
      </w:r>
      <w:r>
        <w:t xml:space="preserve"> </w:t>
      </w:r>
      <w:hyperlink r:id="rId9">
        <w:r>
          <w:rPr>
            <w:rStyle w:val="VerbatimChar"/>
          </w:rPr>
          <w:t xml:space="preserve">academic-requirements-analysis.md</w:t>
        </w:r>
      </w:hyperlink>
      <w:r>
        <w:t xml:space="preserve">. For full academic chapters, see</w:t>
      </w:r>
      <w:r>
        <w:t xml:space="preserve"> </w:t>
      </w:r>
      <w:hyperlink r:id="rId10">
        <w:r>
          <w:rPr>
            <w:rStyle w:val="VerbatimChar"/>
          </w:rPr>
          <w:t xml:space="preserve">academic-requirements-gathering.md</w:t>
        </w:r>
      </w:hyperlink>
      <w:r>
        <w:t xml:space="preserve"> </w:t>
      </w:r>
      <w:r>
        <w:t xml:space="preserve">and</w:t>
      </w:r>
      <w:r>
        <w:t xml:space="preserve"> </w:t>
      </w:r>
      <w:hyperlink r:id="rId9">
        <w:r>
          <w:rPr>
            <w:rStyle w:val="VerbatimChar"/>
          </w:rPr>
          <w:t xml:space="preserve">academic-requirements-analysis.md</w:t>
        </w:r>
      </w:hyperlink>
      <w:r>
        <w:t xml:space="preserve">.</w:t>
      </w:r>
    </w:p>
    <w:bookmarkStart w:id="12" w:name="functional-requirements-fr-001fr-017"/>
    <w:p>
      <w:pPr>
        <w:pStyle w:val="Heading2"/>
      </w:pPr>
      <w:r>
        <w:t xml:space="preserve">Functional requirements (FR-001–FR-017)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838"/>
        <w:gridCol w:w="1131"/>
        <w:gridCol w:w="1414"/>
        <w:gridCol w:w="1697"/>
        <w:gridCol w:w="12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FR-001</w:t>
            </w:r>
          </w:p>
        </w:tc>
        <w:tc>
          <w:tcPr/>
          <w:p>
            <w:pPr>
              <w:pStyle w:val="Compact"/>
            </w:pPr>
            <w:r>
              <w:t xml:space="preserve">CometChat SDK initialisation</w:t>
            </w:r>
          </w:p>
        </w:tc>
        <w:tc>
          <w:tcPr/>
          <w:p>
            <w:pPr>
              <w:pStyle w:val="Compact"/>
            </w:pPr>
            <w:r>
              <w:t xml:space="preserve">Integration / Bootstrap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Initialise UIKit with app id, auth key, region, and all-users subscription before authenticated 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FR-002</w:t>
            </w:r>
          </w:p>
        </w:tc>
        <w:tc>
          <w:tcPr/>
          <w:p>
            <w:pPr>
              <w:pStyle w:val="Compact"/>
            </w:pPr>
            <w:r>
              <w:t xml:space="preserve">Application credentials lifecycle</w:t>
            </w:r>
          </w:p>
        </w:tc>
        <w:tc>
          <w:tcPr/>
          <w:p>
            <w:pPr>
              <w:pStyle w:val="Compact"/>
            </w:pPr>
            <w:r>
              <w:t xml:space="preserve">Authentication / Bootstrap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Capture, persist, and re-initialise SDK with CometChat credentials; route users when credentials are incomplete.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FR-003</w:t>
            </w:r>
          </w:p>
        </w:tc>
        <w:tc>
          <w:tcPr/>
          <w:p>
            <w:pPr>
              <w:pStyle w:val="Compact"/>
            </w:pPr>
            <w:r>
              <w:t xml:space="preserve">UID-based user login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Authenticate end users via CometChat UID and navigate to the primary tabbed experience.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FR-004</w:t>
            </w:r>
          </w:p>
        </w:tc>
        <w:tc>
          <w:tcPr/>
          <w:p>
            <w:pPr>
              <w:pStyle w:val="Compact"/>
            </w:pPr>
            <w:r>
              <w:t xml:space="preserve">Builder configuration and theming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Load feature flags, tab order, colours, and typography from JSON and store; apply CometChat theme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FR-005</w:t>
            </w:r>
          </w:p>
        </w:tc>
        <w:tc>
          <w:tcPr/>
          <w:p>
            <w:pPr>
              <w:pStyle w:val="Compact"/>
            </w:pPr>
            <w:r>
              <w:t xml:space="preserve">QR configuration import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Scan QR, fetch builder configuration, persist it, and update global configuration.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FR-006</w:t>
            </w:r>
          </w:p>
        </w:tc>
        <w:tc>
          <w:tcPr/>
          <w:p>
            <w:pPr>
              <w:pStyle w:val="Compact"/>
            </w:pPr>
            <w:r>
              <w:t xml:space="preserve">Application navigation structure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Stack and dynamic tab navigation; deferred navigation when the container is not ready.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FR-007</w:t>
            </w:r>
          </w:p>
        </w:tc>
        <w:tc>
          <w:tcPr/>
          <w:p>
            <w:pPr>
              <w:pStyle w:val="Compact"/>
            </w:pPr>
            <w:r>
              <w:t xml:space="preserve">Conversations and messaging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Conversation lists and real-time messaging for users and groups via UIKit integration.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FR-008</w:t>
            </w:r>
          </w:p>
        </w:tc>
        <w:tc>
          <w:tcPr/>
          <w:p>
            <w:pPr>
              <w:pStyle w:val="Compact"/>
            </w:pPr>
            <w:r>
              <w:t xml:space="preserve">Thread replies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Inferred</w:t>
            </w:r>
          </w:p>
        </w:tc>
        <w:tc>
          <w:tcPr/>
          <w:p>
            <w:pPr>
              <w:pStyle w:val="Compact"/>
            </w:pPr>
            <w:r>
              <w:t xml:space="preserve">Thread views for parent messages and thread-scoped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FR-009</w:t>
            </w:r>
          </w:p>
        </w:tc>
        <w:tc>
          <w:tcPr/>
          <w:p>
            <w:pPr>
              <w:pStyle w:val="Compact"/>
            </w:pPr>
            <w:r>
              <w:t xml:space="preserve">Message search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Search within a conversation context; navigate to message or thread context from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FR-010</w:t>
            </w:r>
          </w:p>
        </w:tc>
        <w:tc>
          <w:tcPr/>
          <w:p>
            <w:pPr>
              <w:pStyle w:val="Compact"/>
            </w:pPr>
            <w:r>
              <w:t xml:space="preserve">User directory and profiles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List users and show profile screens; open chats from directory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FR-011</w:t>
            </w:r>
          </w:p>
        </w:tc>
        <w:tc>
          <w:tcPr/>
          <w:p>
            <w:pPr>
              <w:pStyle w:val="Compact"/>
            </w:pPr>
            <w:r>
              <w:t xml:space="preserve">Group management and moderation</w:t>
            </w:r>
          </w:p>
        </w:tc>
        <w:tc>
          <w:tcPr/>
          <w:p>
            <w:pPr>
              <w:pStyle w:val="Compact"/>
            </w:pPr>
            <w:r>
              <w:t xml:space="preserve">Group 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Create and join groups; manage members, bans, ownership, and group information screens.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FR-012</w:t>
            </w:r>
          </w:p>
        </w:tc>
        <w:tc>
          <w:tcPr/>
          <w:p>
            <w:pPr>
              <w:pStyle w:val="Compact"/>
            </w:pPr>
            <w:r>
              <w:t xml:space="preserve">Call history and ongoing session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Call logs, call details, and ongoing voice/video session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FR-013</w:t>
            </w:r>
          </w:p>
        </w:tc>
        <w:tc>
          <w:tcPr/>
          <w:p>
            <w:pPr>
              <w:pStyle w:val="Compact"/>
            </w:pPr>
            <w:r>
              <w:t xml:space="preserve">Incoming call handling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Incoming call UI, decline, and busy rejection when another call is active.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FR-014</w:t>
            </w:r>
          </w:p>
        </w:tc>
        <w:tc>
          <w:tcPr/>
          <w:p>
            <w:pPr>
              <w:pStyle w:val="Compact"/>
            </w:pPr>
            <w:r>
              <w:t xml:space="preserve">Native call UI and VoIP lifecycle</w:t>
            </w:r>
          </w:p>
        </w:tc>
        <w:tc>
          <w:tcPr/>
          <w:p>
            <w:pPr>
              <w:pStyle w:val="Compact"/>
            </w:pPr>
            <w:r>
              <w:t xml:space="preserve">Calls / Platform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CallKeep and VoIP handler integration; platform-consistent call presentation.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FR-015</w:t>
            </w:r>
          </w:p>
        </w:tc>
        <w:tc>
          <w:tcPr/>
          <w:p>
            <w:pPr>
              <w:pStyle w:val="Compact"/>
            </w:pPr>
            <w:r>
              <w:t xml:space="preserve">Push token registration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Obtain FCM/APNs/VoIP tokens and register with CometChat using provider identifiers.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FR-016</w:t>
            </w:r>
          </w:p>
        </w:tc>
        <w:tc>
          <w:tcPr/>
          <w:p>
            <w:pPr>
              <w:pStyle w:val="Compact"/>
            </w:pPr>
            <w:r>
              <w:t xml:space="preserve">Notifications and deep linking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Local notifications and foreground/background handling; navigate from payload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FR-017</w:t>
            </w:r>
          </w:p>
        </w:tc>
        <w:tc>
          <w:tcPr/>
          <w:p>
            <w:pPr>
              <w:pStyle w:val="Compact"/>
            </w:pPr>
            <w:r>
              <w:t xml:space="preserve">Encryption and privacy messaging UX</w:t>
            </w:r>
          </w:p>
        </w:tc>
        <w:tc>
          <w:tcPr/>
          <w:p>
            <w:pPr>
              <w:pStyle w:val="Compact"/>
            </w:pPr>
            <w:r>
              <w:t xml:space="preserve">Privacy / UX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Banner and modal explaining encryption and privacy (user-facing copy, not custom cryptography).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table with per-ID links:</w:t>
      </w:r>
      <w:r>
        <w:t xml:space="preserve"> </w:t>
      </w:r>
      <w:hyperlink r:id="rId11">
        <w:r>
          <w:rPr>
            <w:rStyle w:val="VerbatimChar"/>
          </w:rPr>
          <w:t xml:space="preserve">functional/requirements-table.md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5" w:name="X39623b420d99d6377fc1383fa15fc756d713278"/>
    <w:p>
      <w:pPr>
        <w:pStyle w:val="Heading2"/>
      </w:pPr>
      <w:r>
        <w:t xml:space="preserve">Non-functional requirements (NFR-001–NFR-012)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6"/>
        <w:gridCol w:w="1775"/>
        <w:gridCol w:w="1365"/>
        <w:gridCol w:w="1365"/>
        <w:gridCol w:w="1638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NFR-001</w:t>
            </w:r>
          </w:p>
        </w:tc>
        <w:tc>
          <w:tcPr/>
          <w:p>
            <w:pPr>
              <w:pStyle w:val="Compact"/>
            </w:pPr>
            <w:r>
              <w:t xml:space="preserve">Cross-platform deployment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Deployable on iOS and Android via Expo dev client and shared React Native codebase.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NFR-002</w:t>
            </w:r>
          </w:p>
        </w:tc>
        <w:tc>
          <w:tcPr/>
          <w:p>
            <w:pPr>
              <w:pStyle w:val="Compact"/>
            </w:pPr>
            <w:r>
              <w:t xml:space="preserve">Error containment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Root error boundary and global handlers to limit unhandled JavaScript failures.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NFR-003</w:t>
            </w:r>
          </w:p>
        </w:tc>
        <w:tc>
          <w:tcPr/>
          <w:p>
            <w:pPr>
              <w:pStyle w:val="Compact"/>
            </w:pPr>
            <w:r>
              <w:t xml:space="preserve">Maintainability and vendor adaptation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Modular layout; controlled</w:t>
            </w:r>
            <w:r>
              <w:t xml:space="preserve"> </w:t>
            </w:r>
            <w:r>
              <w:rPr>
                <w:rStyle w:val="VerbatimChar"/>
              </w:rPr>
              <w:t xml:space="preserve">patch-package</w:t>
            </w:r>
            <w:r>
              <w:t xml:space="preserve"> </w:t>
            </w:r>
            <w:r>
              <w:t xml:space="preserve">fixes for UIKit edge cases.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NFR-004</w:t>
            </w:r>
          </w:p>
        </w:tc>
        <w:tc>
          <w:tcPr/>
          <w:p>
            <w:pPr>
              <w:pStyle w:val="Compact"/>
            </w:pPr>
            <w:r>
              <w:t xml:space="preserve">Runtime configurability</w:t>
            </w:r>
          </w:p>
        </w:tc>
        <w:tc>
          <w:tcPr/>
          <w:p>
            <w:pPr>
              <w:pStyle w:val="Compact"/>
            </w:pPr>
            <w:r>
              <w:t xml:space="preserve">Configurability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JSON defaults and AsyncStorage overrides for settings and theming without full rebuild for many parameters.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NFR-005</w:t>
            </w:r>
          </w:p>
        </w:tc>
        <w:tc>
          <w:tcPr/>
          <w:p>
            <w:pPr>
              <w:pStyle w:val="Compact"/>
            </w:pPr>
            <w:r>
              <w:t xml:space="preserve">Client credential and token handling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Local storage of app credentials and push provider identifiers; prototype-appropriate posture.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NFR-006</w:t>
            </w:r>
          </w:p>
        </w:tc>
        <w:tc>
          <w:tcPr/>
          <w:p>
            <w:pPr>
              <w:pStyle w:val="Compact"/>
            </w:pPr>
            <w:r>
              <w:t xml:space="preserve">Visual theme alignment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Brand and text colours mapped into CometChat theme; system light/dark where applicable.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NFR-007</w:t>
            </w:r>
          </w:p>
        </w:tc>
        <w:tc>
          <w:tcPr/>
          <w:p>
            <w:pPr>
              <w:pStyle w:val="Compact"/>
            </w:pPr>
            <w:r>
              <w:t xml:space="preserve">Internationalisation support</w:t>
            </w:r>
          </w:p>
        </w:tc>
        <w:tc>
          <w:tcPr/>
          <w:p>
            <w:pPr>
              <w:pStyle w:val="Compac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CometChat i18n provider; vendor strings translatable; custom copy may remain English.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NFR-008</w:t>
            </w:r>
          </w:p>
        </w:tc>
        <w:tc>
          <w:tcPr/>
          <w:p>
            <w:pPr>
              <w:pStyle w:val="Compact"/>
            </w:pPr>
            <w:r>
              <w:t xml:space="preserve">Technology stack compatibility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Declared Expo, React Native, and dependency versions for reproducible builds.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NFR-009</w:t>
            </w:r>
          </w:p>
        </w:tc>
        <w:tc>
          <w:tcPr/>
          <w:p>
            <w:pPr>
              <w:pStyle w:val="Compact"/>
            </w:pPr>
            <w:r>
              <w:t xml:space="preserve">Native capability declarations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Permissions and background modes in Expo config for camera, audio, notifications, VoIP.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NFR-010</w:t>
            </w:r>
          </w:p>
        </w:tc>
        <w:tc>
          <w:tcPr/>
          <w:p>
            <w:pPr>
              <w:pStyle w:val="Compact"/>
            </w:pPr>
            <w:r>
              <w:t xml:space="preserve">Operational observability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Inferred</w:t>
            </w:r>
          </w:p>
        </w:tc>
        <w:tc>
          <w:tcPr/>
          <w:p>
            <w:pPr>
              <w:pStyle w:val="Compact"/>
            </w:pPr>
            <w:r>
              <w:t xml:space="preserve">Console-oriented diagnostics; no integrated APM evidenced in repository.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NFR-011</w:t>
            </w:r>
          </w:p>
        </w:tc>
        <w:tc>
          <w:tcPr/>
          <w:p>
            <w:pPr>
              <w:pStyle w:val="Compact"/>
            </w:pPr>
            <w:r>
              <w:t xml:space="preserve">Third-party service integration</w:t>
            </w:r>
          </w:p>
        </w:tc>
        <w:tc>
          <w:tcPr/>
          <w:p>
            <w:pPr>
              <w:pStyle w:val="Compact"/>
            </w:pPr>
            <w:r>
              <w:t xml:space="preserve">Integrability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Explicit</w:t>
            </w:r>
          </w:p>
        </w:tc>
        <w:tc>
          <w:tcPr/>
          <w:p>
            <w:pPr>
              <w:pStyle w:val="Compact"/>
            </w:pPr>
            <w:r>
              <w:t xml:space="preserve">Dependence on CometChat and Firebase messaging; client as thin layer over external services.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NFR-012</w:t>
            </w:r>
          </w:p>
        </w:tc>
        <w:tc>
          <w:tcPr/>
          <w:p>
            <w:pPr>
              <w:pStyle w:val="Compact"/>
            </w:pPr>
            <w:r>
              <w:t xml:space="preserve">Testability posture</w:t>
            </w:r>
          </w:p>
        </w:tc>
        <w:tc>
          <w:tcPr/>
          <w:p>
            <w:pPr>
              <w:pStyle w:val="Compact"/>
            </w:pPr>
            <w: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Inferred</w:t>
            </w:r>
          </w:p>
        </w:tc>
        <w:tc>
          <w:tcPr/>
          <w:p>
            <w:pPr>
              <w:pStyle w:val="Compact"/>
            </w:pPr>
            <w:r>
              <w:t xml:space="preserve">Modular structure supports future tests; no automated test suite in repository.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table with per-ID links:</w:t>
      </w:r>
      <w:r>
        <w:t xml:space="preserve"> </w:t>
      </w:r>
      <w:hyperlink r:id="rId13">
        <w:r>
          <w:rPr>
            <w:rStyle w:val="VerbatimChar"/>
          </w:rPr>
          <w:t xml:space="preserve">non-functional/requirements-table.md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Master index with engineering source types:</w:t>
      </w:r>
      <w:r>
        <w:t xml:space="preserve"> </w:t>
      </w:r>
      <w:hyperlink r:id="rId14">
        <w:r>
          <w:rPr>
            <w:rStyle w:val="VerbatimChar"/>
          </w:rPr>
          <w:t xml:space="preserve">../requirements-index.md</w:t>
        </w:r>
      </w:hyperlink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requirements-index.md" TargetMode="External" /><Relationship Type="http://schemas.openxmlformats.org/officeDocument/2006/relationships/hyperlink" Id="rId9" Target="academic-requirements-analysis.md" TargetMode="External" /><Relationship Type="http://schemas.openxmlformats.org/officeDocument/2006/relationships/hyperlink" Id="rId10" Target="academic-requirements-gathering.md" TargetMode="External" /><Relationship Type="http://schemas.openxmlformats.org/officeDocument/2006/relationships/hyperlink" Id="rId11" Target="functional/requirements-table.md" TargetMode="External" /><Relationship Type="http://schemas.openxmlformats.org/officeDocument/2006/relationships/hyperlink" Id="rId13" Target="non-functional/requirements-tab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requirements-index.md" TargetMode="External" /><Relationship Type="http://schemas.openxmlformats.org/officeDocument/2006/relationships/hyperlink" Id="rId9" Target="academic-requirements-analysis.md" TargetMode="External" /><Relationship Type="http://schemas.openxmlformats.org/officeDocument/2006/relationships/hyperlink" Id="rId10" Target="academic-requirements-gathering.md" TargetMode="External" /><Relationship Type="http://schemas.openxmlformats.org/officeDocument/2006/relationships/hyperlink" Id="rId11" Target="functional/requirements-table.md" TargetMode="External" /><Relationship Type="http://schemas.openxmlformats.org/officeDocument/2006/relationships/hyperlink" Id="rId13" Target="non-functional/requirements-tab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2026-04-14T08:20:05Z</dcterms:created>
  <dcterms:modified xsi:type="dcterms:W3CDTF">2026-04-14T08:20:05Z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