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mplementation"/>
    <w:p>
      <w:pPr>
        <w:pStyle w:val="Heading1"/>
      </w:pPr>
      <w:r>
        <w:t xml:space="preserve">Implementation</w:t>
      </w:r>
    </w:p>
    <w:bookmarkStart w:id="1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chapter describes how the Secure Chat Application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implemented in software in accordance with the system design (Chapter 5,</w:t>
      </w:r>
      <w:r>
        <w:t xml:space="preserve"> </w:t>
      </w:r>
      <w:hyperlink r:id="rId9">
        <w:r>
          <w:rPr>
            <w:rStyle w:val="VerbatimChar"/>
          </w:rPr>
          <w:t xml:space="preserve">../design/academic-system-design.md</w:t>
        </w:r>
      </w:hyperlink>
      <w:r>
        <w:t xml:space="preserve">) and the analysed requirements (Chapter 4,</w:t>
      </w:r>
      <w:r>
        <w:t xml:space="preserve"> </w:t>
      </w:r>
      <w:hyperlink r:id="rId10">
        <w:r>
          <w:rPr>
            <w:rStyle w:val="VerbatimChar"/>
          </w:rPr>
          <w:t xml:space="preserve">../requirements-tables.md</w:t>
        </w:r>
      </w:hyperlink>
      <w:r>
        <w:t xml:space="preserve">). The</w:t>
      </w:r>
      <w:r>
        <w:t xml:space="preserve"> </w:t>
      </w:r>
      <w:r>
        <w:rPr>
          <w:b/>
          <w:bCs/>
        </w:rPr>
        <w:t xml:space="preserve">reference decomposition</w:t>
      </w:r>
      <w:r>
        <w:t xml:space="preserve"> </w:t>
      </w:r>
      <w:r>
        <w:t xml:space="preserve">follows the intended structure under</w:t>
      </w:r>
      <w:r>
        <w:t xml:space="preserve"> </w:t>
      </w:r>
      <w:hyperlink r:id="rId11">
        <w:r>
          <w:rPr>
            <w:rStyle w:val="VerbatimChar"/>
          </w:rPr>
          <w:t xml:space="preserve">examples/SecureChatApp/</w:t>
        </w:r>
      </w:hyperlink>
      <w:r>
        <w:t xml:space="preserve">: a single Expo-based React Native client with CometChat UIKit and SDK integration, platform notification and call facilities, and local configuration storage.</w:t>
      </w:r>
    </w:p>
    <w:p>
      <w:pPr>
        <w:pStyle w:val="BodyText"/>
      </w:pPr>
      <w:r>
        <w:t xml:space="preserve">The thesis table of contents uses headings such as “System modules</w:t>
      </w:r>
      <w:r>
        <w:t xml:space="preserve"> </w:t>
      </w:r>
      <w:r>
        <w:rPr>
          <w:b/>
          <w:bCs/>
        </w:rPr>
        <w:t xml:space="preserve">implemented</w:t>
      </w:r>
      <w:r>
        <w:t xml:space="preserve">”; unless stated otherwise, this narrative should be read as describing the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t xml:space="preserve">realisation—what development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target—rather than a claim that every obligation has been fully completed and evaluated. Traceability from requirements and from Chapter 5 to this chapter is recorded in</w:t>
      </w:r>
      <w:r>
        <w:t xml:space="preserve"> </w:t>
      </w:r>
      <w:hyperlink r:id="rId12">
        <w:r>
          <w:rPr>
            <w:rStyle w:val="VerbatimChar"/>
          </w:rPr>
          <w:t xml:space="preserve">academic-requirements-traceability-implementation.md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21" w:name="development-environment"/>
    <w:p>
      <w:pPr>
        <w:pStyle w:val="Heading2"/>
      </w:pPr>
      <w:r>
        <w:t xml:space="preserve">6.1 Development environment</w:t>
      </w:r>
    </w:p>
    <w:bookmarkStart w:id="15" w:name="toolchain-and-runtime"/>
    <w:p>
      <w:pPr>
        <w:pStyle w:val="Heading3"/>
      </w:pPr>
      <w:r>
        <w:t xml:space="preserve">6.1.1 Toolchain and runtime</w:t>
      </w:r>
    </w:p>
    <w:p>
      <w:pPr>
        <w:pStyle w:val="FirstParagraph"/>
      </w:pPr>
      <w:r>
        <w:t xml:space="preserve">Development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target a</w:t>
      </w:r>
      <w:r>
        <w:t xml:space="preserve"> </w:t>
      </w:r>
      <w:r>
        <w:rPr>
          <w:b/>
          <w:bCs/>
        </w:rPr>
        <w:t xml:space="preserve">cross-platform</w:t>
      </w:r>
      <w:r>
        <w:t xml:space="preserve"> </w:t>
      </w:r>
      <w:r>
        <w:t xml:space="preserve">mobile stack consistent with</w:t>
      </w:r>
      <w:r>
        <w:t xml:space="preserve"> </w:t>
      </w:r>
      <w:r>
        <w:rPr>
          <w:b/>
          <w:bCs/>
        </w:rPr>
        <w:t xml:space="preserve">NFR-001</w:t>
      </w:r>
      <w:r>
        <w:t xml:space="preserve"> </w:t>
      </w:r>
      <w:r>
        <w:t xml:space="preserve">(cross-platform deployment) and</w:t>
      </w:r>
      <w:r>
        <w:t xml:space="preserve"> </w:t>
      </w:r>
      <w:r>
        <w:rPr>
          <w:b/>
          <w:bCs/>
        </w:rPr>
        <w:t xml:space="preserve">NFR-008</w:t>
      </w:r>
      <w:r>
        <w:t xml:space="preserve"> </w:t>
      </w:r>
      <w:r>
        <w:t xml:space="preserve">(technology stack compatibility). The reference project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Expo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development client</w:t>
      </w:r>
      <w:r>
        <w:t xml:space="preserve"> </w:t>
      </w:r>
      <w:r>
        <w:t xml:space="preserve">workflow (</w:t>
      </w:r>
      <w:r>
        <w:rPr>
          <w:rStyle w:val="VerbatimChar"/>
        </w:rPr>
        <w:t xml:space="preserve">expo start --dev-client</w:t>
      </w:r>
      <w:r>
        <w:t xml:space="preserve">, native</w:t>
      </w:r>
      <w:r>
        <w:t xml:space="preserve"> </w:t>
      </w:r>
      <w:r>
        <w:rPr>
          <w:rStyle w:val="VerbatimChar"/>
        </w:rPr>
        <w:t xml:space="preserve">expo run:ios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 run:android</w:t>
      </w:r>
      <w:r>
        <w:t xml:space="preserve">) so that modules requiring native code (push, CallKeep, WebRTC-related components)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available beyond a purely managed Expo Go limitation.</w:t>
      </w:r>
    </w:p>
    <w:p>
      <w:pPr>
        <w:pStyle w:val="BodyText"/>
      </w:pPr>
      <w:r>
        <w:t xml:space="preserve">Representative dependency families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include: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React Native</w:t>
      </w:r>
      <w:r>
        <w:t xml:space="preserve"> </w:t>
      </w:r>
      <w:r>
        <w:t xml:space="preserve">versions declared in the application manifest;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for static typing;</w:t>
      </w:r>
      <w:r>
        <w:t xml:space="preserve"> </w:t>
      </w:r>
      <w:r>
        <w:rPr>
          <w:b/>
          <w:bCs/>
        </w:rPr>
        <w:t xml:space="preserve">CometChat</w:t>
      </w:r>
      <w:r>
        <w:t xml:space="preserve"> </w:t>
      </w:r>
      <w:r>
        <w:t xml:space="preserve">UIKit, Chat SDK, and Calls SDK for communication features;</w:t>
      </w:r>
      <w:r>
        <w:t xml:space="preserve"> </w:t>
      </w:r>
      <w:r>
        <w:rPr>
          <w:b/>
          <w:bCs/>
        </w:rPr>
        <w:t xml:space="preserve">React Navigation</w:t>
      </w:r>
      <w:r>
        <w:t xml:space="preserve"> </w:t>
      </w:r>
      <w:r>
        <w:t xml:space="preserve">(stack and bottom tabs);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for client-side configuration state;</w:t>
      </w:r>
      <w:r>
        <w:t xml:space="preserve"> </w:t>
      </w:r>
      <w:r>
        <w:rPr>
          <w:b/>
          <w:bCs/>
        </w:rPr>
        <w:t xml:space="preserve">AsyncStorage</w:t>
      </w:r>
      <w:r>
        <w:t xml:space="preserve"> </w:t>
      </w:r>
      <w:r>
        <w:t xml:space="preserve">for persisted settings and credentials;</w:t>
      </w:r>
      <w:r>
        <w:t xml:space="preserve"> </w:t>
      </w:r>
      <w:r>
        <w:rPr>
          <w:b/>
          <w:bCs/>
        </w:rPr>
        <w:t xml:space="preserve">patch-package</w:t>
      </w:r>
      <w:r>
        <w:t xml:space="preserve"> </w:t>
      </w:r>
      <w:r>
        <w:t xml:space="preserve">for controlled vendor patches (</w:t>
      </w:r>
      <w:r>
        <w:rPr>
          <w:b/>
          <w:bCs/>
        </w:rPr>
        <w:t xml:space="preserve">NFR-003</w:t>
      </w:r>
      <w:r>
        <w:t xml:space="preserve">). Exact version pins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taken from</w:t>
      </w:r>
      <w:r>
        <w:t xml:space="preserve"> </w:t>
      </w:r>
      <w:hyperlink r:id="rId14">
        <w:r>
          <w:rPr>
            <w:rStyle w:val="VerbatimChar"/>
          </w:rPr>
          <w:t xml:space="preserve">package.json</w:t>
        </w:r>
      </w:hyperlink>
      <w:r>
        <w:t xml:space="preserve"> </w:t>
      </w:r>
      <w:r>
        <w:t xml:space="preserve">at submission time rather than duplicated here, so the report remains aligned with reproducible builds.</w:t>
      </w:r>
    </w:p>
    <w:bookmarkEnd w:id="15"/>
    <w:bookmarkStart w:id="16" w:name="workstation-and-targets"/>
    <w:p>
      <w:pPr>
        <w:pStyle w:val="Heading3"/>
      </w:pPr>
      <w:r>
        <w:t xml:space="preserve">6.1.2 Workstation and targets</w:t>
      </w:r>
    </w:p>
    <w:p>
      <w:pPr>
        <w:pStyle w:val="FirstParagraph"/>
      </w:pPr>
      <w:r>
        <w:t xml:space="preserve">Developers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use current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LTS-compatible releases and a standard package manager (npm, yarn, or pnpm—project convention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recorded in repository instructions). Primary validation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rely on</w:t>
      </w:r>
      <w:r>
        <w:t xml:space="preserve"> </w:t>
      </w:r>
      <w:r>
        <w:rPr>
          <w:b/>
          <w:bCs/>
        </w:rPr>
        <w:t xml:space="preserve">iOS Simulator</w:t>
      </w:r>
      <w:r>
        <w:t xml:space="preserve">,</w:t>
      </w:r>
      <w:r>
        <w:t xml:space="preserve"> </w:t>
      </w:r>
      <w:r>
        <w:rPr>
          <w:b/>
          <w:bCs/>
        </w:rPr>
        <w:t xml:space="preserve">Android emulator</w:t>
      </w:r>
      <w:r>
        <w:t xml:space="preserve">, and</w:t>
      </w:r>
      <w:r>
        <w:t xml:space="preserve"> </w:t>
      </w:r>
      <w:r>
        <w:rPr>
          <w:b/>
          <w:bCs/>
        </w:rPr>
        <w:t xml:space="preserve">physical devices</w:t>
      </w:r>
      <w:r>
        <w:t xml:space="preserve">, supporting manual testing approaches anticipated under</w:t>
      </w:r>
      <w:r>
        <w:t xml:space="preserve"> </w:t>
      </w:r>
      <w:r>
        <w:rPr>
          <w:b/>
          <w:bCs/>
        </w:rPr>
        <w:t xml:space="preserve">NFR-012</w:t>
      </w:r>
      <w:r>
        <w:t xml:space="preserve"> </w:t>
      </w:r>
      <w:r>
        <w:t xml:space="preserve">(no automated suite evidenced as a primary artefact).</w:t>
      </w:r>
    </w:p>
    <w:bookmarkEnd w:id="16"/>
    <w:bookmarkStart w:id="19" w:name="configuration-artefacts"/>
    <w:p>
      <w:pPr>
        <w:pStyle w:val="Heading3"/>
      </w:pPr>
      <w:r>
        <w:t xml:space="preserve">6.1.3 Configuration artefacts</w:t>
      </w:r>
    </w:p>
    <w:p>
      <w:pPr>
        <w:pStyle w:val="FirstParagraph"/>
      </w:pPr>
      <w:r>
        <w:t xml:space="preserve">Application metadata and native capability declarations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reside in Expo configuration (for example</w:t>
      </w:r>
      <w:r>
        <w:t xml:space="preserve"> </w:t>
      </w:r>
      <w:hyperlink r:id="rId17">
        <w:r>
          <w:rPr>
            <w:rStyle w:val="VerbatimChar"/>
          </w:rPr>
          <w:t xml:space="preserve">app.json</w:t>
        </w:r>
      </w:hyperlink>
      <w:r>
        <w:t xml:space="preserve">): bundle identifiers, permissions, background modes, and plugin settings relevant to camera, microphone, notifications, and VoIP (</w:t>
      </w:r>
      <w:r>
        <w:rPr>
          <w:b/>
          <w:bCs/>
        </w:rPr>
        <w:t xml:space="preserve">NFR-009</w:t>
      </w:r>
      <w:r>
        <w:t xml:space="preserve">). Default builder-style settings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ship with the repository (for example</w:t>
      </w:r>
      <w:r>
        <w:t xml:space="preserve"> </w:t>
      </w:r>
      <w:hyperlink r:id="rId18">
        <w:r>
          <w:rPr>
            <w:rStyle w:val="VerbatimChar"/>
          </w:rPr>
          <w:t xml:space="preserve">src/config/config.json</w:t>
        </w:r>
      </w:hyperlink>
      <w:r>
        <w:t xml:space="preserve">);</w:t>
      </w:r>
      <w:r>
        <w:t xml:space="preserve"> </w:t>
      </w:r>
      <w:r>
        <w:rPr>
          <w:b/>
          <w:bCs/>
        </w:rPr>
        <w:t xml:space="preserve">CometChat application credentials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supplied at run time or through local storage after first launch—</w:t>
      </w:r>
      <w:r>
        <w:rPr>
          <w:b/>
          <w:bCs/>
        </w:rPr>
        <w:t xml:space="preserve">secrets must not</w:t>
      </w:r>
      <w:r>
        <w:t xml:space="preserve"> </w:t>
      </w:r>
      <w:r>
        <w:t xml:space="preserve">be embedded in the thesis body; the report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refer to placeholders and secure handling practices (</w:t>
      </w:r>
      <w:r>
        <w:rPr>
          <w:b/>
          <w:bCs/>
        </w:rPr>
        <w:t xml:space="preserve">NFR-005</w:t>
      </w:r>
      <w:r>
        <w:t xml:space="preserve">).</w:t>
      </w:r>
    </w:p>
    <w:bookmarkEnd w:id="19"/>
    <w:bookmarkStart w:id="20" w:name="repository-layout"/>
    <w:p>
      <w:pPr>
        <w:pStyle w:val="Heading3"/>
      </w:pPr>
      <w:r>
        <w:t xml:space="preserve">6.1.4 Repository layout</w:t>
      </w:r>
    </w:p>
    <w:p>
      <w:pPr>
        <w:pStyle w:val="FirstParagraph"/>
      </w:pPr>
      <w:r>
        <w:t xml:space="preserve">The implementation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concentrate in</w:t>
      </w:r>
      <w:r>
        <w:t xml:space="preserve"> </w:t>
      </w:r>
      <w:r>
        <w:rPr>
          <w:rStyle w:val="VerbatimChar"/>
          <w:b/>
          <w:bCs/>
        </w:rPr>
        <w:t xml:space="preserve">examples/SecureChatApp/</w:t>
      </w:r>
      <w:r>
        <w:t xml:space="preserve"> </w:t>
      </w:r>
      <w:r>
        <w:t xml:space="preserve">within the wider repository, so that the thesis can cite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coherent client. Other example applications in the repository, if present,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out of scope unless explicitly compared.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ystem-modules-planned-decomposition"/>
    <w:p>
      <w:pPr>
        <w:pStyle w:val="Heading2"/>
      </w:pPr>
      <w:r>
        <w:t xml:space="preserve">6.2 System modules (planned decomposition)</w:t>
      </w:r>
    </w:p>
    <w:p>
      <w:pPr>
        <w:pStyle w:val="FirstParagraph"/>
      </w:pPr>
      <w:r>
        <w:t xml:space="preserve">This subsection maps the</w:t>
      </w:r>
      <w:r>
        <w:t xml:space="preserve"> </w:t>
      </w:r>
      <w:r>
        <w:rPr>
          <w:b/>
          <w:bCs/>
        </w:rPr>
        <w:t xml:space="preserve">major software components</w:t>
      </w:r>
      <w:r>
        <w:t xml:space="preserve"> </w:t>
      </w:r>
      <w:r>
        <w:t xml:space="preserve">described in §5.1.4 of the design chapter to</w:t>
      </w:r>
      <w:r>
        <w:t xml:space="preserve"> </w:t>
      </w:r>
      <w:r>
        <w:rPr>
          <w:b/>
          <w:bCs/>
        </w:rPr>
        <w:t xml:space="preserve">folders and roles</w:t>
      </w:r>
      <w:r>
        <w:t xml:space="preserve"> </w:t>
      </w:r>
      <w:r>
        <w:t xml:space="preserve">in the reference tree. The implementation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preserve separation between</w:t>
      </w:r>
      <w:r>
        <w:t xml:space="preserve"> </w:t>
      </w:r>
      <w:r>
        <w:rPr>
          <w:b/>
          <w:bCs/>
        </w:rPr>
        <w:t xml:space="preserve">shell and orchestration</w:t>
      </w:r>
      <w:r>
        <w:t xml:space="preserve">,</w:t>
      </w:r>
      <w:r>
        <w:t xml:space="preserve"> </w:t>
      </w:r>
      <w:r>
        <w:rPr>
          <w:b/>
          <w:bCs/>
        </w:rPr>
        <w:t xml:space="preserve">navigation</w:t>
      </w:r>
      <w:r>
        <w:t xml:space="preserve">,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,</w:t>
      </w:r>
      <w:r>
        <w:t xml:space="preserve"> </w:t>
      </w:r>
      <w:r>
        <w:rPr>
          <w:b/>
          <w:bCs/>
        </w:rPr>
        <w:t xml:space="preserve">feature screens</w:t>
      </w:r>
      <w:r>
        <w:t xml:space="preserve">, and</w:t>
      </w:r>
      <w:r>
        <w:t xml:space="preserve"> </w:t>
      </w:r>
      <w:r>
        <w:rPr>
          <w:b/>
          <w:bCs/>
        </w:rPr>
        <w:t xml:space="preserve">platform utilities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663"/>
        <w:gridCol w:w="2059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path (conceptual)</w:t>
            </w:r>
          </w:p>
        </w:tc>
        <w:tc>
          <w:tcPr/>
          <w:p>
            <w:pPr>
              <w:pStyle w:val="Compact"/>
            </w:pPr>
            <w:r>
              <w:t xml:space="preserve">Design layer (Ch 5)</w:t>
            </w:r>
          </w:p>
        </w:tc>
        <w:tc>
          <w:tcPr/>
          <w:p>
            <w:pPr>
              <w:pStyle w:val="Compact"/>
            </w:pPr>
            <w:r>
              <w:t xml:space="preserve">Primary responsibilities</w:t>
            </w:r>
          </w:p>
        </w:tc>
        <w:tc>
          <w:tcPr/>
          <w:p>
            <w:pPr>
              <w:pStyle w:val="Compact"/>
            </w:pPr>
            <w:r>
              <w:t xml:space="preserve">Representative FRs / NFRs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module (e.g. </w:t>
            </w:r>
            <w:r>
              <w:rPr>
                <w:rStyle w:val="VerbatimChar"/>
              </w:rPr>
              <w:t xml:space="preserve">App.tsx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index.js</w:t>
            </w:r>
          </w:p>
        </w:tc>
        <w:tc>
          <w:tcPr/>
          <w:p>
            <w:pPr>
              <w:pStyle w:val="Compact"/>
            </w:pPr>
            <w:r>
              <w:t xml:space="preserve">Application orchestration</w:t>
            </w:r>
          </w:p>
        </w:tc>
        <w:tc>
          <w:tcPr/>
          <w:p>
            <w:pPr>
              <w:pStyle w:val="Compact"/>
            </w:pPr>
            <w:r>
              <w:t xml:space="preserve">SDK/UIKit initialisation, global providers, listeners for calls and notifications, theme wiring</w:t>
            </w:r>
          </w:p>
        </w:tc>
        <w:tc>
          <w:tcPr/>
          <w:p>
            <w:pPr>
              <w:pStyle w:val="Compact"/>
            </w:pPr>
            <w:r>
              <w:t xml:space="preserve">FR-001, FR-014–FR-016, NFR-002, NFR-006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AppErrorBoundary.tsx</w:t>
            </w:r>
            <w:r>
              <w:t xml:space="preserve"> </w:t>
            </w:r>
            <w:r>
              <w:t xml:space="preserve">(or equivalent)</w:t>
            </w:r>
          </w:p>
        </w:tc>
        <w:tc>
          <w:tcPr/>
          <w:p>
            <w:pPr>
              <w:pStyle w:val="Compact"/>
            </w:pPr>
            <w:r>
              <w:t xml:space="preserve">Application orchestration</w:t>
            </w:r>
          </w:p>
        </w:tc>
        <w:tc>
          <w:tcPr/>
          <w:p>
            <w:pPr>
              <w:pStyle w:val="Compact"/>
            </w:pPr>
            <w:r>
              <w:t xml:space="preserve">Error containment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src/navigation/</w:t>
            </w:r>
          </w:p>
        </w:tc>
        <w:tc>
          <w:tcPr/>
          <w:p>
            <w:pPr>
              <w:pStyle w:val="Compact"/>
            </w:pPr>
            <w:r>
              <w:t xml:space="preserve">Presentation + orchestration</w:t>
            </w:r>
          </w:p>
        </w:tc>
        <w:tc>
          <w:tcPr/>
          <w:p>
            <w:pPr>
              <w:pStyle w:val="Compact"/>
            </w:pPr>
            <w:r>
              <w:t xml:space="preserve">Root stack, tab navigator, navigation service, pending routes</w:t>
            </w:r>
          </w:p>
        </w:tc>
        <w:tc>
          <w:tcPr/>
          <w:p>
            <w:pPr>
              <w:pStyle w:val="Compact"/>
            </w:pPr>
            <w:r>
              <w:t xml:space="preserve">FR-006, FR-016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</w:t>
            </w:r>
          </w:p>
        </w:tc>
        <w:tc>
          <w:tcPr/>
          <w:p>
            <w:pPr>
              <w:pStyle w:val="Compact"/>
            </w:pPr>
            <w:r>
              <w:t xml:space="preserve">Local persistence + orchestration</w:t>
            </w:r>
          </w:p>
        </w:tc>
        <w:tc>
          <w:tcPr/>
          <w:p>
            <w:pPr>
              <w:pStyle w:val="Compact"/>
            </w:pPr>
            <w:r>
              <w:t xml:space="preserve">Zustand store, default JSON, AsyncStorage merge for builder settings</w:t>
            </w:r>
          </w:p>
        </w:tc>
        <w:tc>
          <w:tcPr/>
          <w:p>
            <w:pPr>
              <w:pStyle w:val="Compact"/>
            </w:pPr>
            <w:r>
              <w:t xml:space="preserve">FR-004, FR-005, NFR-004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src/components/login/</w:t>
            </w: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Application credentials, UID login</w:t>
            </w:r>
          </w:p>
        </w:tc>
        <w:tc>
          <w:tcPr/>
          <w:p>
            <w:pPr>
              <w:pStyle w:val="Compact"/>
            </w:pPr>
            <w:r>
              <w:t xml:space="preserve">FR-002, FR-003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src/components/conversations/</w:t>
            </w:r>
          </w:p>
        </w:tc>
        <w:tc>
          <w:tcPr/>
          <w:p>
            <w:pPr>
              <w:pStyle w:val="Compact"/>
            </w:pPr>
            <w:r>
              <w:t xml:space="preserve">Presentation + integration</w:t>
            </w:r>
          </w:p>
        </w:tc>
        <w:tc>
          <w:tcPr/>
          <w:p>
            <w:pPr>
              <w:pStyle w:val="Compact"/>
            </w:pPr>
            <w:r>
              <w:t xml:space="preserve">Conversations, messages, threads, search, group admin screens, QR import, encryption UX</w:t>
            </w:r>
          </w:p>
        </w:tc>
        <w:tc>
          <w:tcPr/>
          <w:p>
            <w:pPr>
              <w:pStyle w:val="Compact"/>
            </w:pPr>
            <w:r>
              <w:t xml:space="preserve">FR-005, FR-007–FR-011, FR-017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src/components/calls/</w:t>
            </w:r>
          </w:p>
        </w:tc>
        <w:tc>
          <w:tcPr/>
          <w:p>
            <w:pPr>
              <w:pStyle w:val="Compact"/>
            </w:pPr>
            <w:r>
              <w:t xml:space="preserve">Presentation + integration</w:t>
            </w:r>
          </w:p>
        </w:tc>
        <w:tc>
          <w:tcPr/>
          <w:p>
            <w:pPr>
              <w:pStyle w:val="Compact"/>
            </w:pPr>
            <w:r>
              <w:t xml:space="preserve">Call lists, details, ongoing session UI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src/components/users/</w:t>
            </w: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User directory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src/components/groups/</w:t>
            </w: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Group listing and entry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</w:t>
            </w:r>
          </w:p>
        </w:tc>
        <w:tc>
          <w:tcPr/>
          <w:p>
            <w:pPr>
              <w:pStyle w:val="Compact"/>
            </w:pPr>
            <w:r>
              <w:t xml:space="preserve">Platform services + orchestration</w:t>
            </w:r>
          </w:p>
        </w:tc>
        <w:tc>
          <w:tcPr/>
          <w:p>
            <w:pPr>
              <w:pStyle w:val="Compact"/>
            </w:pPr>
            <w:r>
              <w:t xml:space="preserve">Push registration, notification helpers, VoIP handler, shared constants, navigation helpers</w:t>
            </w:r>
          </w:p>
        </w:tc>
        <w:tc>
          <w:tcPr/>
          <w:p>
            <w:pPr>
              <w:pStyle w:val="Compact"/>
            </w:pPr>
            <w:r>
              <w:t xml:space="preserve">FR-015, FR-016, NFR-005, NFR-009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</w:t>
            </w:r>
          </w:p>
        </w:tc>
        <w:tc>
          <w:tcPr/>
          <w:p>
            <w:pPr>
              <w:pStyle w:val="Compact"/>
            </w:pPr>
            <w:r>
              <w:t xml:space="preserve">Presentation support</w:t>
            </w:r>
          </w:p>
        </w:tc>
        <w:tc>
          <w:tcPr/>
          <w:p>
            <w:pPr>
              <w:pStyle w:val="Compact"/>
            </w:pPr>
            <w:r>
              <w:t xml:space="preserve">Keyboard and UI helpers</w:t>
            </w:r>
          </w:p>
        </w:tc>
        <w:tc>
          <w:tcPr/>
          <w:p>
            <w:pPr>
              <w:pStyle w:val="Compact"/>
            </w:pPr>
            <w:r>
              <w:t xml:space="preserve">NFR-006 (indirect)</w:t>
            </w:r>
          </w:p>
        </w:tc>
      </w:tr>
    </w:tbl>
    <w:p>
      <w:pPr>
        <w:pStyle w:val="BodyText"/>
      </w:pPr>
      <w:r>
        <w:t xml:space="preserve">The implementation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introduce a separate first-party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module; “backend” semantics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delegated to</w:t>
      </w:r>
      <w:r>
        <w:t xml:space="preserve"> </w:t>
      </w:r>
      <w:r>
        <w:rPr>
          <w:b/>
          <w:bCs/>
        </w:rPr>
        <w:t xml:space="preserve">CometChat</w:t>
      </w:r>
      <w:r>
        <w:t xml:space="preserve"> </w:t>
      </w:r>
      <w:r>
        <w:t xml:space="preserve">and push infrastructure, as detailed in §6.4 (</w:t>
      </w:r>
      <w:r>
        <w:rPr>
          <w:b/>
          <w:bCs/>
        </w:rPr>
        <w:t xml:space="preserve">NFR-011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7" w:name="frontend-implementation"/>
    <w:p>
      <w:pPr>
        <w:pStyle w:val="Heading2"/>
      </w:pPr>
      <w:r>
        <w:t xml:space="preserve">6.3 Frontend implementation</w:t>
      </w:r>
    </w:p>
    <w:bookmarkStart w:id="23" w:name="composition-model"/>
    <w:p>
      <w:pPr>
        <w:pStyle w:val="Heading3"/>
      </w:pPr>
      <w:r>
        <w:t xml:space="preserve">6.3.1 Composition model</w:t>
      </w:r>
    </w:p>
    <w:p>
      <w:pPr>
        <w:pStyle w:val="FirstParagraph"/>
      </w:pPr>
      <w:r>
        <w:t xml:space="preserve">The user interface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combine</w:t>
      </w:r>
      <w:r>
        <w:t xml:space="preserve"> </w:t>
      </w:r>
      <w:r>
        <w:rPr>
          <w:b/>
          <w:bCs/>
        </w:rPr>
        <w:t xml:space="preserve">CometChat UIKit</w:t>
      </w:r>
      <w:r>
        <w:t xml:space="preserve"> </w:t>
      </w:r>
      <w:r>
        <w:t xml:space="preserve">screens and components for messaging, calls, users, and groups with</w:t>
      </w:r>
      <w:r>
        <w:t xml:space="preserve"> </w:t>
      </w:r>
      <w:r>
        <w:rPr>
          <w:b/>
          <w:bCs/>
        </w:rPr>
        <w:t xml:space="preserve">project-specific</w:t>
      </w:r>
      <w:r>
        <w:t xml:space="preserve"> </w:t>
      </w:r>
      <w:r>
        <w:t xml:space="preserve">screens for credential capture, UID login, QR-based configuration import, encryption notices, and auxiliary flows (</w:t>
      </w:r>
      <w:r>
        <w:rPr>
          <w:b/>
          <w:bCs/>
        </w:rPr>
        <w:t xml:space="preserve">FR-006</w:t>
      </w:r>
      <w:r>
        <w:t xml:space="preserve">,</w:t>
      </w:r>
      <w:r>
        <w:t xml:space="preserve"> </w:t>
      </w:r>
      <w:r>
        <w:rPr>
          <w:b/>
          <w:bCs/>
        </w:rPr>
        <w:t xml:space="preserve">FR-007</w:t>
      </w:r>
      <w:r>
        <w:t xml:space="preserve">,</w:t>
      </w:r>
      <w:r>
        <w:t xml:space="preserve"> </w:t>
      </w:r>
      <w:r>
        <w:rPr>
          <w:b/>
          <w:bCs/>
        </w:rPr>
        <w:t xml:space="preserve">FR-017</w:t>
      </w:r>
      <w:r>
        <w:t xml:space="preserve">). Thread views, search, and group administration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implemented as navigable routes wrapping or extending UIKit behaviour (</w:t>
      </w:r>
      <w:r>
        <w:rPr>
          <w:b/>
          <w:bCs/>
        </w:rPr>
        <w:t xml:space="preserve">FR-008</w:t>
      </w:r>
      <w:r>
        <w:t xml:space="preserve">,</w:t>
      </w:r>
      <w:r>
        <w:t xml:space="preserve"> </w:t>
      </w:r>
      <w:r>
        <w:rPr>
          <w:b/>
          <w:bCs/>
        </w:rPr>
        <w:t xml:space="preserve">FR-009</w:t>
      </w:r>
      <w:r>
        <w:t xml:space="preserve">,</w:t>
      </w:r>
      <w:r>
        <w:t xml:space="preserve"> </w:t>
      </w:r>
      <w:r>
        <w:rPr>
          <w:b/>
          <w:bCs/>
        </w:rPr>
        <w:t xml:space="preserve">FR-011</w:t>
      </w:r>
      <w:r>
        <w:t xml:space="preserve">).</w:t>
      </w:r>
    </w:p>
    <w:bookmarkEnd w:id="23"/>
    <w:bookmarkStart w:id="24" w:name="state-and-configuration"/>
    <w:p>
      <w:pPr>
        <w:pStyle w:val="Heading3"/>
      </w:pPr>
      <w:r>
        <w:t xml:space="preserve">6.3.2 State and configuration</w:t>
      </w:r>
    </w:p>
    <w:p>
      <w:pPr>
        <w:pStyle w:val="FirstParagraph"/>
      </w:pPr>
      <w:r>
        <w:t xml:space="preserve">Runtime layout, colours, typography, and related builder fields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held in a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store initialised from packaged JSON and</w:t>
      </w:r>
      <w:r>
        <w:t xml:space="preserve"> </w:t>
      </w:r>
      <w:r>
        <w:rPr>
          <w:b/>
          <w:bCs/>
        </w:rPr>
        <w:t xml:space="preserve">merged</w:t>
      </w:r>
      <w:r>
        <w:t xml:space="preserve"> </w:t>
      </w:r>
      <w:r>
        <w:t xml:space="preserve">with values persisted in</w:t>
      </w:r>
      <w:r>
        <w:t xml:space="preserve"> </w:t>
      </w:r>
      <w:r>
        <w:rPr>
          <w:b/>
          <w:bCs/>
        </w:rPr>
        <w:t xml:space="preserve">AsyncStorage</w:t>
      </w:r>
      <w:r>
        <w:t xml:space="preserve">, satisfying</w:t>
      </w:r>
      <w:r>
        <w:t xml:space="preserve"> </w:t>
      </w:r>
      <w:r>
        <w:rPr>
          <w:b/>
          <w:bCs/>
        </w:rPr>
        <w:t xml:space="preserve">FR-004</w:t>
      </w:r>
      <w:r>
        <w:t xml:space="preserve">,</w:t>
      </w:r>
      <w:r>
        <w:t xml:space="preserve"> </w:t>
      </w:r>
      <w:r>
        <w:rPr>
          <w:b/>
          <w:bCs/>
        </w:rPr>
        <w:t xml:space="preserve">FR-005</w:t>
      </w:r>
      <w:r>
        <w:t xml:space="preserve">, and</w:t>
      </w:r>
      <w:r>
        <w:t xml:space="preserve"> </w:t>
      </w:r>
      <w:r>
        <w:rPr>
          <w:b/>
          <w:bCs/>
        </w:rPr>
        <w:t xml:space="preserve">NFR-004</w:t>
      </w:r>
      <w:r>
        <w:t xml:space="preserve">. Theme objects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passed into CometChat theme providers so that brand colours and text styles align with UIKit tokens (</w:t>
      </w:r>
      <w:r>
        <w:rPr>
          <w:b/>
          <w:bCs/>
        </w:rPr>
        <w:t xml:space="preserve">NFR-006</w:t>
      </w:r>
      <w:r>
        <w:t xml:space="preserve">). Tab order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driven from configuration rather than hard-coded lists (</w:t>
      </w:r>
      <w:r>
        <w:rPr>
          <w:b/>
          <w:bCs/>
        </w:rPr>
        <w:t xml:space="preserve">FR-004</w:t>
      </w:r>
      <w:r>
        <w:t xml:space="preserve">,</w:t>
      </w:r>
      <w:r>
        <w:t xml:space="preserve"> </w:t>
      </w:r>
      <w:r>
        <w:rPr>
          <w:b/>
          <w:bCs/>
        </w:rPr>
        <w:t xml:space="preserve">FR-006</w:t>
      </w:r>
      <w:r>
        <w:t xml:space="preserve">).</w:t>
      </w:r>
    </w:p>
    <w:bookmarkEnd w:id="24"/>
    <w:bookmarkStart w:id="25" w:name="navigation"/>
    <w:p>
      <w:pPr>
        <w:pStyle w:val="Heading3"/>
      </w:pPr>
      <w:r>
        <w:t xml:space="preserve">6.3.3 Navigation</w:t>
      </w:r>
    </w:p>
    <w:p>
      <w:pPr>
        <w:pStyle w:val="FirstParagraph"/>
      </w:pPr>
      <w:r>
        <w:t xml:space="preserve">The client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React Navigation</w:t>
      </w:r>
      <w:r>
        <w:t xml:space="preserve">: 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for authentication entry, conversation flows, call-related routes, and utilities (for example QR screen), and a</w:t>
      </w:r>
      <w:r>
        <w:t xml:space="preserve"> </w:t>
      </w:r>
      <w:r>
        <w:rPr>
          <w:b/>
          <w:bCs/>
        </w:rPr>
        <w:t xml:space="preserve">bottom tab</w:t>
      </w:r>
      <w:r>
        <w:t xml:space="preserve"> </w:t>
      </w:r>
      <w:r>
        <w:t xml:space="preserve">navigator for primary areas (Chats, Calls, Users, Groups) whose visibility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builder configuration. A</w:t>
      </w:r>
      <w:r>
        <w:t xml:space="preserve"> </w:t>
      </w:r>
      <w:r>
        <w:rPr>
          <w:b/>
          <w:bCs/>
        </w:rPr>
        <w:t xml:space="preserve">navigation service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support imperative navigation and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routing when the container is not yet ready, implementing the design’s pending-navigation intent (</w:t>
      </w:r>
      <w:r>
        <w:rPr>
          <w:b/>
          <w:bCs/>
        </w:rPr>
        <w:t xml:space="preserve">FR-006</w:t>
      </w:r>
      <w:r>
        <w:t xml:space="preserve">,</w:t>
      </w:r>
      <w:r>
        <w:t xml:space="preserve"> </w:t>
      </w:r>
      <w:r>
        <w:rPr>
          <w:b/>
          <w:bCs/>
        </w:rPr>
        <w:t xml:space="preserve">FR-016</w:t>
      </w:r>
      <w:r>
        <w:t xml:space="preserve">).</w:t>
      </w:r>
    </w:p>
    <w:bookmarkEnd w:id="25"/>
    <w:bookmarkStart w:id="26" w:name="cross-cutting-concerns"/>
    <w:p>
      <w:pPr>
        <w:pStyle w:val="Heading3"/>
      </w:pPr>
      <w:r>
        <w:t xml:space="preserve">6.3.4 Cross-cutting concerns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root error boundary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wrap major UI subtrees to limit unhandled JavaScript failures (</w:t>
      </w:r>
      <w:r>
        <w:rPr>
          <w:b/>
          <w:bCs/>
        </w:rPr>
        <w:t xml:space="preserve">NFR-002</w:t>
      </w:r>
      <w:r>
        <w:t xml:space="preserve">).</w:t>
      </w:r>
      <w:r>
        <w:t xml:space="preserve"> </w:t>
      </w:r>
      <w:r>
        <w:rPr>
          <w:b/>
          <w:bCs/>
        </w:rPr>
        <w:t xml:space="preserve">CometChat’s i18n provider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supply vendor string localisation; custom strings may remain English unless extended (</w:t>
      </w:r>
      <w:r>
        <w:rPr>
          <w:b/>
          <w:bCs/>
        </w:rPr>
        <w:t xml:space="preserve">NFR-007</w:t>
      </w:r>
      <w:r>
        <w:t xml:space="preserve">). Accessibility and platform-specific safe areas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React Native and library defaults unless the project extends them.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7ab9e171f2099c90a306da0dd0a10c731d63369"/>
    <w:p>
      <w:pPr>
        <w:pStyle w:val="Heading2"/>
      </w:pPr>
      <w:r>
        <w:t xml:space="preserve">6.4 Backend / service integration implementation</w:t>
      </w:r>
    </w:p>
    <w:p>
      <w:pPr>
        <w:pStyle w:val="FirstParagraph"/>
      </w:pPr>
      <w:r>
        <w:t xml:space="preserve">This section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describe a student-owned</w:t>
      </w:r>
      <w:r>
        <w:t xml:space="preserve"> </w:t>
      </w:r>
      <w:r>
        <w:rPr>
          <w:b/>
          <w:bCs/>
        </w:rPr>
        <w:t xml:space="preserve">REST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GraphQL</w:t>
      </w:r>
      <w:r>
        <w:t xml:space="preserve"> </w:t>
      </w:r>
      <w:r>
        <w:t xml:space="preserve">application server. Instead,</w:t>
      </w:r>
      <w:r>
        <w:t xml:space="preserve"> </w:t>
      </w:r>
      <w:r>
        <w:rPr>
          <w:b/>
          <w:bCs/>
        </w:rPr>
        <w:t xml:space="preserve">service integration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occur</w:t>
      </w:r>
      <w:r>
        <w:t xml:space="preserve"> </w:t>
      </w:r>
      <w:r>
        <w:rPr>
          <w:b/>
          <w:bCs/>
        </w:rPr>
        <w:t xml:space="preserve">entirely on the client</w:t>
      </w:r>
      <w:r>
        <w:t xml:space="preserve"> </w:t>
      </w:r>
      <w:r>
        <w:t xml:space="preserve">through vendor SDKs and platform APIs, consistent with Chapter 5 and</w:t>
      </w:r>
      <w:r>
        <w:t xml:space="preserve"> </w:t>
      </w:r>
      <w:r>
        <w:rPr>
          <w:b/>
          <w:bCs/>
        </w:rPr>
        <w:t xml:space="preserve">NFR-011</w:t>
      </w:r>
      <w:r>
        <w:t xml:space="preserve">.</w:t>
      </w:r>
    </w:p>
    <w:bookmarkStart w:id="28" w:name="cometchat-sdk-and-uikit"/>
    <w:p>
      <w:pPr>
        <w:pStyle w:val="Heading3"/>
      </w:pPr>
      <w:r>
        <w:t xml:space="preserve">6.4.1 CometChat SDK and UIKit</w:t>
      </w:r>
    </w:p>
    <w:p>
      <w:pPr>
        <w:pStyle w:val="FirstParagraph"/>
      </w:pPr>
      <w:r>
        <w:t xml:space="preserve">The implementation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initialise</w:t>
      </w:r>
      <w:r>
        <w:t xml:space="preserve"> </w:t>
      </w:r>
      <w:r>
        <w:rPr>
          <w:b/>
          <w:bCs/>
        </w:rPr>
        <w:t xml:space="preserve">CometChat UIKit</w:t>
      </w:r>
      <w:r>
        <w:t xml:space="preserve"> </w:t>
      </w:r>
      <w:r>
        <w:t xml:space="preserve">with application identifier, authentication key, region, and subscription type (</w:t>
      </w:r>
      <w:r>
        <w:rPr>
          <w:b/>
          <w:bCs/>
        </w:rPr>
        <w:t xml:space="preserve">FR-001</w:t>
      </w:r>
      <w:r>
        <w:t xml:space="preserve">).</w:t>
      </w:r>
      <w:r>
        <w:t xml:space="preserve"> </w:t>
      </w:r>
      <w:r>
        <w:rPr>
          <w:b/>
          <w:bCs/>
        </w:rPr>
        <w:t xml:space="preserve">Application credentials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captured, persisted, and reapplied so that the SDK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re-initialise when credentials change (</w:t>
      </w:r>
      <w:r>
        <w:rPr>
          <w:b/>
          <w:bCs/>
        </w:rPr>
        <w:t xml:space="preserve">FR-002</w:t>
      </w:r>
      <w:r>
        <w:t xml:space="preserve">). End-user authentication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CometChat UID login</w:t>
      </w:r>
      <w:r>
        <w:t xml:space="preserve"> </w:t>
      </w:r>
      <w:r>
        <w:t xml:space="preserve">against the vendor cloud (</w:t>
      </w:r>
      <w:r>
        <w:rPr>
          <w:b/>
          <w:bCs/>
        </w:rPr>
        <w:t xml:space="preserve">FR-003</w:t>
      </w:r>
      <w:r>
        <w:t xml:space="preserve">). Messaging, presence, groups, and call objects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accessed through documented SDK and UIKit entry points rather than custom HTTP endpoints.</w:t>
      </w:r>
    </w:p>
    <w:bookmarkEnd w:id="28"/>
    <w:bookmarkStart w:id="29" w:name="firebase-and-push-registration"/>
    <w:p>
      <w:pPr>
        <w:pStyle w:val="Heading3"/>
      </w:pPr>
      <w:r>
        <w:t xml:space="preserve">6.4.2 Firebase and push registration</w:t>
      </w:r>
    </w:p>
    <w:p>
      <w:pPr>
        <w:pStyle w:val="FirstParagraph"/>
      </w:pPr>
      <w:r>
        <w:rPr>
          <w:b/>
          <w:bCs/>
        </w:rPr>
        <w:t xml:space="preserve">Firebase Cloud Messaging</w:t>
      </w:r>
      <w:r>
        <w:t xml:space="preserve"> </w:t>
      </w:r>
      <w:r>
        <w:t xml:space="preserve">(and platform counterparts)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supply device tokens for remote notifications. The implementation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register those tokens with</w:t>
      </w:r>
      <w:r>
        <w:t xml:space="preserve"> </w:t>
      </w:r>
      <w:r>
        <w:rPr>
          <w:b/>
          <w:bCs/>
        </w:rPr>
        <w:t xml:space="preserve">CometChat</w:t>
      </w:r>
      <w:r>
        <w:t xml:space="preserve"> </w:t>
      </w:r>
      <w:r>
        <w:t xml:space="preserve">using configured provider identifiers (</w:t>
      </w:r>
      <w:r>
        <w:rPr>
          <w:b/>
          <w:bCs/>
        </w:rPr>
        <w:t xml:space="preserve">FR-015</w:t>
      </w:r>
      <w:r>
        <w:t xml:space="preserve">). This path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sit alongside local notification presentation logic described in §6.5 (</w:t>
      </w:r>
      <w:r>
        <w:rPr>
          <w:b/>
          <w:bCs/>
        </w:rPr>
        <w:t xml:space="preserve">FR-016</w:t>
      </w:r>
      <w:r>
        <w:t xml:space="preserve">).</w:t>
      </w:r>
    </w:p>
    <w:bookmarkEnd w:id="29"/>
    <w:bookmarkStart w:id="30" w:name="boundary-with-backend-wording"/>
    <w:p>
      <w:pPr>
        <w:pStyle w:val="Heading3"/>
      </w:pPr>
      <w:r>
        <w:t xml:space="preserve">6.4.3 Boundary with “backend” wording</w:t>
      </w:r>
    </w:p>
    <w:p>
      <w:pPr>
        <w:pStyle w:val="FirstParagraph"/>
      </w:pPr>
      <w:r>
        <w:t xml:space="preserve">Thesis readers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interpret “backend / service integration” here as</w:t>
      </w:r>
      <w:r>
        <w:t xml:space="preserve"> </w:t>
      </w:r>
      <w:r>
        <w:rPr>
          <w:b/>
          <w:bCs/>
        </w:rPr>
        <w:t xml:space="preserve">integration with external services from the mobile tier</w:t>
      </w:r>
      <w:r>
        <w:t xml:space="preserve">, not as implementation of a private database or API owned by the project. Any future extension that adds a first-party server</w:t>
      </w:r>
      <w:r>
        <w:t xml:space="preserve"> </w:t>
      </w:r>
      <w:r>
        <w:rPr>
          <w:b/>
          <w:bCs/>
        </w:rPr>
        <w:t xml:space="preserve">would</w:t>
      </w:r>
      <w:r>
        <w:t xml:space="preserve"> </w:t>
      </w:r>
      <w:r>
        <w:t xml:space="preserve">require a new requirements and design iteration.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f945aa2a9cb2b2557c249193c7c221c4169e622"/>
    <w:p>
      <w:pPr>
        <w:pStyle w:val="Heading2"/>
      </w:pPr>
      <w:r>
        <w:t xml:space="preserve">6.5 Notification and calling features implementation</w:t>
      </w:r>
    </w:p>
    <w:p>
      <w:pPr>
        <w:pStyle w:val="FirstParagraph"/>
      </w:pPr>
      <w:r>
        <w:t xml:space="preserve">Design-level flows appear in §5.3 of</w:t>
      </w:r>
      <w:r>
        <w:t xml:space="preserve"> </w:t>
      </w:r>
      <w:hyperlink r:id="rId9">
        <w:r>
          <w:rPr>
            <w:rStyle w:val="VerbatimChar"/>
          </w:rPr>
          <w:t xml:space="preserve">../design/academic-system-design.md</w:t>
        </w:r>
      </w:hyperlink>
      <w:r>
        <w:t xml:space="preserve">; this section summarises how the implementation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realise them without duplicating every diagram.</w:t>
      </w:r>
    </w:p>
    <w:bookmarkStart w:id="32" w:name="notifications"/>
    <w:p>
      <w:pPr>
        <w:pStyle w:val="Heading3"/>
      </w:pPr>
      <w:r>
        <w:t xml:space="preserve">6.5.1 Notifications</w:t>
      </w:r>
    </w:p>
    <w:p>
      <w:pPr>
        <w:pStyle w:val="FirstParagraph"/>
      </w:pPr>
      <w:r>
        <w:t xml:space="preserve">The implementation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integrate</w:t>
      </w:r>
      <w:r>
        <w:t xml:space="preserve"> </w:t>
      </w:r>
      <w:r>
        <w:rPr>
          <w:b/>
          <w:bCs/>
        </w:rPr>
        <w:t xml:space="preserve">Firebase messaging</w:t>
      </w:r>
      <w:r>
        <w:t xml:space="preserve"> </w:t>
      </w:r>
      <w:r>
        <w:t xml:space="preserve">and, where applicable,</w:t>
      </w:r>
      <w:r>
        <w:t xml:space="preserve"> </w:t>
      </w:r>
      <w:r>
        <w:rPr>
          <w:b/>
          <w:bCs/>
        </w:rPr>
        <w:t xml:space="preserve">Notifee</w:t>
      </w:r>
      <w:r>
        <w:t xml:space="preserve"> </w:t>
      </w:r>
      <w:r>
        <w:t xml:space="preserve">(or platform APIs) for foreground and background behaviour. Notification payloads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parsed to extract routing hints; when the navigation container is not ready, actions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queued</w:t>
      </w:r>
      <w:r>
        <w:t xml:space="preserve"> </w:t>
      </w:r>
      <w:r>
        <w:t xml:space="preserve">and replayed after readiness (</w:t>
      </w:r>
      <w:r>
        <w:rPr>
          <w:b/>
          <w:bCs/>
        </w:rPr>
        <w:t xml:space="preserve">FR-016</w:t>
      </w:r>
      <w:r>
        <w:t xml:space="preserve">,</w:t>
      </w:r>
      <w:r>
        <w:t xml:space="preserve"> </w:t>
      </w:r>
      <w:r>
        <w:rPr>
          <w:b/>
          <w:bCs/>
        </w:rPr>
        <w:t xml:space="preserve">FR-006</w:t>
      </w:r>
      <w:r>
        <w:t xml:space="preserve">).</w:t>
      </w:r>
      <w:r>
        <w:t xml:space="preserve"> </w:t>
      </w:r>
      <w:r>
        <w:rPr>
          <w:b/>
          <w:bCs/>
        </w:rPr>
        <w:t xml:space="preserve">iOS</w:t>
      </w:r>
      <w:r>
        <w:t xml:space="preserve">-specific VoIP token handling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complement standard push registration where required for incoming calls (</w:t>
      </w:r>
      <w:r>
        <w:rPr>
          <w:b/>
          <w:bCs/>
        </w:rPr>
        <w:t xml:space="preserve">FR-015</w:t>
      </w:r>
      <w:r>
        <w:t xml:space="preserve">,</w:t>
      </w:r>
      <w:r>
        <w:t xml:space="preserve"> </w:t>
      </w:r>
      <w:r>
        <w:rPr>
          <w:b/>
          <w:bCs/>
        </w:rPr>
        <w:t xml:space="preserve">NFR-009</w:t>
      </w:r>
      <w:r>
        <w:t xml:space="preserve">).</w:t>
      </w:r>
    </w:p>
    <w:bookmarkEnd w:id="32"/>
    <w:bookmarkStart w:id="33" w:name="calls-and-native-presentation"/>
    <w:p>
      <w:pPr>
        <w:pStyle w:val="Heading3"/>
      </w:pPr>
      <w:r>
        <w:t xml:space="preserve">6.5.2 Calls and native presentation</w:t>
      </w:r>
    </w:p>
    <w:p>
      <w:pPr>
        <w:pStyle w:val="FirstParagraph"/>
      </w:pPr>
      <w:r>
        <w:rPr>
          <w:b/>
          <w:bCs/>
        </w:rPr>
        <w:t xml:space="preserve">CometChat Calls</w:t>
      </w:r>
      <w:r>
        <w:t xml:space="preserve"> </w:t>
      </w:r>
      <w:r>
        <w:t xml:space="preserve">capabilities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combined with</w:t>
      </w:r>
      <w:r>
        <w:t xml:space="preserve"> </w:t>
      </w:r>
      <w:r>
        <w:rPr>
          <w:b/>
          <w:bCs/>
        </w:rPr>
        <w:t xml:space="preserve">CallKeep</w:t>
      </w:r>
      <w:r>
        <w:t xml:space="preserve"> </w:t>
      </w:r>
      <w:r>
        <w:t xml:space="preserve">(or equivalent) for native call UI consistency and with</w:t>
      </w:r>
      <w:r>
        <w:t xml:space="preserve"> </w:t>
      </w:r>
      <w:r>
        <w:rPr>
          <w:b/>
          <w:bCs/>
        </w:rPr>
        <w:t xml:space="preserve">VoIP push</w:t>
      </w:r>
      <w:r>
        <w:t xml:space="preserve"> </w:t>
      </w:r>
      <w:r>
        <w:t xml:space="preserve">handlers on iOS as configured (</w:t>
      </w:r>
      <w:r>
        <w:rPr>
          <w:b/>
          <w:bCs/>
        </w:rPr>
        <w:t xml:space="preserve">FR-012</w:t>
      </w:r>
      <w:r>
        <w:t xml:space="preserve">,</w:t>
      </w:r>
      <w:r>
        <w:t xml:space="preserve"> </w:t>
      </w:r>
      <w:r>
        <w:rPr>
          <w:b/>
          <w:bCs/>
        </w:rPr>
        <w:t xml:space="preserve">FR-014</w:t>
      </w:r>
      <w:r>
        <w:t xml:space="preserve">).</w:t>
      </w:r>
      <w:r>
        <w:t xml:space="preserve"> </w:t>
      </w:r>
      <w:r>
        <w:rPr>
          <w:b/>
          <w:bCs/>
        </w:rPr>
        <w:t xml:space="preserve">Incoming call</w:t>
      </w:r>
      <w:r>
        <w:t xml:space="preserve"> </w:t>
      </w:r>
      <w:r>
        <w:t xml:space="preserve">surfaces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support accept and decline;</w:t>
      </w:r>
      <w:r>
        <w:t xml:space="preserve"> </w:t>
      </w:r>
      <w:r>
        <w:rPr>
          <w:b/>
          <w:bCs/>
        </w:rPr>
        <w:t xml:space="preserve">busy</w:t>
      </w:r>
      <w:r>
        <w:t xml:space="preserve"> </w:t>
      </w:r>
      <w:r>
        <w:t xml:space="preserve">behaviour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product rules for concurrent calls (</w:t>
      </w:r>
      <w:r>
        <w:rPr>
          <w:b/>
          <w:bCs/>
        </w:rPr>
        <w:t xml:space="preserve">FR-013</w:t>
      </w:r>
      <w:r>
        <w:t xml:space="preserve">). Ongoing session screens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display active voice/video state tied to SDK call objects (</w:t>
      </w:r>
      <w:r>
        <w:rPr>
          <w:b/>
          <w:bCs/>
        </w:rPr>
        <w:t xml:space="preserve">FR-012</w:t>
      </w:r>
      <w:r>
        <w:t xml:space="preserve">).</w:t>
      </w:r>
    </w:p>
    <w:bookmarkEnd w:id="33"/>
    <w:bookmarkStart w:id="34" w:name="permissions-and-platform-variance"/>
    <w:p>
      <w:pPr>
        <w:pStyle w:val="Heading3"/>
      </w:pPr>
      <w:r>
        <w:t xml:space="preserve">6.5.3 Permissions and platform variance</w:t>
      </w:r>
    </w:p>
    <w:p>
      <w:pPr>
        <w:pStyle w:val="FirstParagraph"/>
      </w:pPr>
      <w:r>
        <w:t xml:space="preserve">Implementation effort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account for</w:t>
      </w:r>
      <w:r>
        <w:t xml:space="preserve"> </w:t>
      </w:r>
      <w:r>
        <w:rPr>
          <w:b/>
          <w:bCs/>
        </w:rPr>
        <w:t xml:space="preserve">permission prompts</w:t>
      </w:r>
      <w:r>
        <w:t xml:space="preserve">,</w:t>
      </w:r>
      <w:r>
        <w:t xml:space="preserve"> </w:t>
      </w:r>
      <w:r>
        <w:rPr>
          <w:b/>
          <w:bCs/>
        </w:rPr>
        <w:t xml:space="preserve">background execution limits</w:t>
      </w:r>
      <w:r>
        <w:t xml:space="preserve">, and</w:t>
      </w:r>
      <w:r>
        <w:t xml:space="preserve"> </w:t>
      </w:r>
      <w:r>
        <w:rPr>
          <w:b/>
          <w:bCs/>
        </w:rPr>
        <w:t xml:space="preserve">behavioural differences</w:t>
      </w:r>
      <w:r>
        <w:t xml:space="preserve"> </w:t>
      </w:r>
      <w:r>
        <w:t xml:space="preserve">between Android and iOS for notifications and calls (</w:t>
      </w:r>
      <w:r>
        <w:rPr>
          <w:b/>
          <w:bCs/>
        </w:rPr>
        <w:t xml:space="preserve">NFR-009</w:t>
      </w:r>
      <w:r>
        <w:t xml:space="preserve">). These concerns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inform anticipated challenges in §6.6.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allenges-during-implementation"/>
    <w:p>
      <w:pPr>
        <w:pStyle w:val="Heading2"/>
      </w:pPr>
      <w:r>
        <w:t xml:space="preserve">6.6 Challenges during implementation</w:t>
      </w:r>
    </w:p>
    <w:p>
      <w:pPr>
        <w:pStyle w:val="FirstParagraph"/>
      </w:pPr>
      <w:r>
        <w:t xml:space="preserve">The following challenges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treated as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during development of a vendor-integrated mobile client; later revisions of the thesis may rephrase this section in the past tense once work is complete.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and Expo coupling</w:t>
      </w:r>
      <w:r>
        <w:t xml:space="preserve">: Upgrades to</w:t>
      </w:r>
      <w:r>
        <w:t xml:space="preserve"> </w:t>
      </w:r>
      <w:r>
        <w:rPr>
          <w:b/>
          <w:bCs/>
        </w:rPr>
        <w:t xml:space="preserve">Expo</w:t>
      </w:r>
      <w:r>
        <w:t xml:space="preserve">,</w:t>
      </w:r>
      <w:r>
        <w:t xml:space="preserve"> </w:t>
      </w:r>
      <w:r>
        <w:rPr>
          <w:b/>
          <w:bCs/>
        </w:rPr>
        <w:t xml:space="preserve">React Native</w:t>
      </w:r>
      <w:r>
        <w:t xml:space="preserve">, or</w:t>
      </w:r>
      <w:r>
        <w:t xml:space="preserve"> </w:t>
      </w:r>
      <w:r>
        <w:rPr>
          <w:b/>
          <w:bCs/>
        </w:rPr>
        <w:t xml:space="preserve">CometChat</w:t>
      </w:r>
      <w:r>
        <w:t xml:space="preserve"> </w:t>
      </w:r>
      <w:r>
        <w:t xml:space="preserve">packages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require dependency alignment and occasional</w:t>
      </w:r>
      <w:r>
        <w:t xml:space="preserve"> </w:t>
      </w:r>
      <w:r>
        <w:rPr>
          <w:b/>
          <w:bCs/>
        </w:rPr>
        <w:t xml:space="preserve">patch-package</w:t>
      </w:r>
      <w:r>
        <w:t xml:space="preserve"> </w:t>
      </w:r>
      <w:r>
        <w:t xml:space="preserve">maintenance (</w:t>
      </w:r>
      <w:r>
        <w:rPr>
          <w:b/>
          <w:bCs/>
        </w:rPr>
        <w:t xml:space="preserve">NFR-003</w:t>
      </w:r>
      <w:r>
        <w:t xml:space="preserve">,</w:t>
      </w:r>
      <w:r>
        <w:t xml:space="preserve"> </w:t>
      </w:r>
      <w:r>
        <w:rPr>
          <w:b/>
          <w:bCs/>
        </w:rPr>
        <w:t xml:space="preserve">NFR-008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Push and VoIP complexity</w:t>
      </w:r>
      <w:r>
        <w:t xml:space="preserve">: Differences between</w:t>
      </w:r>
      <w:r>
        <w:t xml:space="preserve"> </w:t>
      </w:r>
      <w:r>
        <w:rPr>
          <w:b/>
          <w:bCs/>
        </w:rPr>
        <w:t xml:space="preserve">FCM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APNs/VoIP</w:t>
      </w:r>
      <w:r>
        <w:t xml:space="preserve"> </w:t>
      </w:r>
      <w:r>
        <w:t xml:space="preserve">flows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demand careful ordering of token registration and navigation side effects (</w:t>
      </w:r>
      <w:r>
        <w:rPr>
          <w:b/>
          <w:bCs/>
        </w:rPr>
        <w:t xml:space="preserve">FR-015</w:t>
      </w:r>
      <w:r>
        <w:t xml:space="preserve">,</w:t>
      </w:r>
      <w:r>
        <w:t xml:space="preserve"> </w:t>
      </w:r>
      <w:r>
        <w:rPr>
          <w:b/>
          <w:bCs/>
        </w:rPr>
        <w:t xml:space="preserve">FR-016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Credential handling for demonstrations</w:t>
      </w:r>
      <w:r>
        <w:t xml:space="preserve">: Storing CometChat keys on device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appropriate for prototypes but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require clear disclosure and disciplined use of placeholders in reports (</w:t>
      </w:r>
      <w:r>
        <w:rPr>
          <w:b/>
          <w:bCs/>
        </w:rPr>
        <w:t xml:space="preserve">NFR-005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 and testing</w:t>
      </w:r>
      <w:r>
        <w:t xml:space="preserve">: Reliance on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diagnostics and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device testing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limit operational insight (</w:t>
      </w:r>
      <w:r>
        <w:rPr>
          <w:b/>
          <w:bCs/>
        </w:rPr>
        <w:t xml:space="preserve">NFR-010</w:t>
      </w:r>
      <w:r>
        <w:t xml:space="preserve">,</w:t>
      </w:r>
      <w:r>
        <w:t xml:space="preserve"> </w:t>
      </w:r>
      <w:r>
        <w:rPr>
          <w:b/>
          <w:bCs/>
        </w:rPr>
        <w:t xml:space="preserve">NFR-012</w:t>
      </w:r>
      <w:r>
        <w:t xml:space="preserve">); automated regression tests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a plausible future improvement rather than a claimed deliverable here.</w:t>
      </w:r>
    </w:p>
    <w:p>
      <w:r>
        <w:pict>
          <v:rect style="width:0;height:1.5pt" o:hralign="center" o:hrstd="t" o:hr="t"/>
        </w:pict>
      </w:r>
    </w:p>
    <w:bookmarkEnd w:id="36"/>
    <w:bookmarkStart w:id="37" w:name="Xae0ebd0f95aa88e67afff0ea6997a814051268b"/>
    <w:p>
      <w:pPr>
        <w:pStyle w:val="Heading2"/>
      </w:pPr>
      <w:r>
        <w:t xml:space="preserve">Closing alignment with design and requirements</w:t>
      </w:r>
    </w:p>
    <w:p>
      <w:pPr>
        <w:pStyle w:val="FirstParagraph"/>
      </w:pPr>
      <w:r>
        <w:t xml:space="preserve">Chapter 6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realise Chapter 5’s layered architecture through concrete modules under</w:t>
      </w:r>
      <w:r>
        <w:t xml:space="preserve"> </w:t>
      </w:r>
      <w:r>
        <w:rPr>
          <w:rStyle w:val="VerbatimChar"/>
          <w:b/>
          <w:bCs/>
        </w:rPr>
        <w:t xml:space="preserve">examples/SecureChatApp/</w:t>
      </w:r>
      <w:r>
        <w:t xml:space="preserve">, vendor integrations on the client, and platform services for notifications and calls. The next evaluation stage (Chapter 7)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map verification activities to the same</w:t>
      </w:r>
      <w:r>
        <w:t xml:space="preserve"> </w:t>
      </w:r>
      <w:r>
        <w:rPr>
          <w:b/>
          <w:bCs/>
        </w:rPr>
        <w:t xml:space="preserve">FR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NFR</w:t>
      </w:r>
      <w:r>
        <w:t xml:space="preserve"> </w:t>
      </w:r>
      <w:r>
        <w:t xml:space="preserve">identifiers established in Chapter 4.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../../examples/SecureChatApp/" TargetMode="External" /><Relationship Type="http://schemas.openxmlformats.org/officeDocument/2006/relationships/hyperlink" Id="rId17" Target="../../../examples/SecureChatApp/app.json" TargetMode="External" /><Relationship Type="http://schemas.openxmlformats.org/officeDocument/2006/relationships/hyperlink" Id="rId14" Target="../../../examples/SecureChatApp/package.json" TargetMode="External" /><Relationship Type="http://schemas.openxmlformats.org/officeDocument/2006/relationships/hyperlink" Id="rId18" Target="../../../examples/SecureChatApp/src/config/config.json" TargetMode="External" /><Relationship Type="http://schemas.openxmlformats.org/officeDocument/2006/relationships/hyperlink" Id="rId9" Target="../design/academic-system-design.md" TargetMode="External" /><Relationship Type="http://schemas.openxmlformats.org/officeDocument/2006/relationships/hyperlink" Id="rId10" Target="../requirements-tables.md" TargetMode="External" /><Relationship Type="http://schemas.openxmlformats.org/officeDocument/2006/relationships/hyperlink" Id="rId12" Target="academic-requirements-traceability-implement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../../examples/SecureChatApp/" TargetMode="External" /><Relationship Type="http://schemas.openxmlformats.org/officeDocument/2006/relationships/hyperlink" Id="rId17" Target="../../../examples/SecureChatApp/app.json" TargetMode="External" /><Relationship Type="http://schemas.openxmlformats.org/officeDocument/2006/relationships/hyperlink" Id="rId14" Target="../../../examples/SecureChatApp/package.json" TargetMode="External" /><Relationship Type="http://schemas.openxmlformats.org/officeDocument/2006/relationships/hyperlink" Id="rId18" Target="../../../examples/SecureChatApp/src/config/config.json" TargetMode="External" /><Relationship Type="http://schemas.openxmlformats.org/officeDocument/2006/relationships/hyperlink" Id="rId9" Target="../design/academic-system-design.md" TargetMode="External" /><Relationship Type="http://schemas.openxmlformats.org/officeDocument/2006/relationships/hyperlink" Id="rId10" Target="../requirements-tables.md" TargetMode="External" /><Relationship Type="http://schemas.openxmlformats.org/officeDocument/2006/relationships/hyperlink" Id="rId12" Target="academic-requirements-traceability-implement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2026-04-14T08:20:06Z</dcterms:created>
  <dcterms:modified xsi:type="dcterms:W3CDTF">2026-04-14T08:20:06Z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