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testing-and-evaluation"/>
    <w:p>
      <w:pPr>
        <w:pStyle w:val="Heading1"/>
      </w:pPr>
      <w:r>
        <w:t xml:space="preserve">Testing and Evaluation</w:t>
      </w:r>
    </w:p>
    <w:bookmarkStart w:id="16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chapter specifies how the Secure Chat Application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evaluated</w:t>
      </w:r>
      <w:r>
        <w:t xml:space="preserve"> </w:t>
      </w:r>
      <w:r>
        <w:t xml:space="preserve">against the requirements established in Chapter 4 (</w:t>
      </w:r>
      <w:hyperlink r:id="rId9">
        <w:r>
          <w:rPr>
            <w:rStyle w:val="VerbatimChar"/>
          </w:rPr>
          <w:t xml:space="preserve">../requirements-tables.md</w:t>
        </w:r>
      </w:hyperlink>
      <w:r>
        <w:t xml:space="preserve">), the system design in Chapter 5 (</w:t>
      </w:r>
      <w:hyperlink r:id="rId10">
        <w:r>
          <w:rPr>
            <w:rStyle w:val="VerbatimChar"/>
          </w:rPr>
          <w:t xml:space="preserve">../design/academic-system-design.md</w:t>
        </w:r>
      </w:hyperlink>
      <w:r>
        <w:t xml:space="preserve">), and the intended implementation in Chapter 6 (</w:t>
      </w:r>
      <w:hyperlink r:id="rId11">
        <w:r>
          <w:rPr>
            <w:rStyle w:val="VerbatimChar"/>
          </w:rPr>
          <w:t xml:space="preserve">../implementation/academic-implementation.md</w:t>
        </w:r>
      </w:hyperlink>
      <w:r>
        <w:t xml:space="preserve">). Evaluation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the</w:t>
      </w:r>
      <w:r>
        <w:t xml:space="preserve"> </w:t>
      </w:r>
      <w:r>
        <w:rPr>
          <w:b/>
          <w:bCs/>
        </w:rPr>
        <w:t xml:space="preserve">scenario-oriented</w:t>
      </w:r>
      <w:r>
        <w:t xml:space="preserve"> </w:t>
      </w:r>
      <w:r>
        <w:t xml:space="preserve">acceptance style described in</w:t>
      </w:r>
      <w:r>
        <w:t xml:space="preserve"> </w:t>
      </w:r>
      <w:hyperlink r:id="rId12">
        <w:r>
          <w:rPr>
            <w:rStyle w:val="VerbatimChar"/>
          </w:rPr>
          <w:t xml:space="preserve">../academic-requirements-analysis.md</w:t>
        </w:r>
      </w:hyperlink>
      <w:r>
        <w:t xml:space="preserve">: primarily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execution on simulators, emulators, or devices, supplemented by</w:t>
      </w:r>
      <w:r>
        <w:t xml:space="preserve"> </w:t>
      </w:r>
      <w:r>
        <w:rPr>
          <w:b/>
          <w:bCs/>
        </w:rPr>
        <w:t xml:space="preserve">inspection</w:t>
      </w:r>
      <w:r>
        <w:t xml:space="preserve"> </w:t>
      </w:r>
      <w:r>
        <w:t xml:space="preserve">of configuration and dependencies for non-functional obligations.</w:t>
      </w:r>
    </w:p>
    <w:p>
      <w:pPr>
        <w:pStyle w:val="BodyText"/>
      </w:pPr>
      <w:r>
        <w:rPr>
          <w:b/>
          <w:bCs/>
        </w:rPr>
        <w:t xml:space="preserve">Convention for incomplete work:</w:t>
      </w:r>
      <w:r>
        <w:t xml:space="preserve"> </w:t>
      </w:r>
      <w:r>
        <w:t xml:space="preserve">Unless stated otherwise,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cells and</w:t>
      </w:r>
      <w:r>
        <w:t xml:space="preserve"> </w:t>
      </w:r>
      <w:r>
        <w:rPr>
          <w:b/>
          <w:bCs/>
        </w:rPr>
        <w:t xml:space="preserve">findings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read</w:t>
      </w:r>
      <w:r>
        <w:t xml:space="preserve"> </w:t>
      </w:r>
      <w:r>
        <w:rPr>
          <w:b/>
          <w:bCs/>
        </w:rPr>
        <w:t xml:space="preserve">to be determined (TBD)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to be recorded</w:t>
      </w:r>
      <w:r>
        <w:t xml:space="preserve"> </w:t>
      </w:r>
      <w:r>
        <w:t xml:space="preserve">upon execution. The thesis</w:t>
      </w:r>
      <w:r>
        <w:t xml:space="preserve"> </w:t>
      </w:r>
      <w:r>
        <w:rPr>
          <w:b/>
          <w:bCs/>
        </w:rPr>
        <w:t xml:space="preserve">will not</w:t>
      </w:r>
      <w:r>
        <w:t xml:space="preserve"> </w:t>
      </w:r>
      <w:r>
        <w:t xml:space="preserve">claim measured benchmarks, formal security audits, or automated regression coverage that the repository does not support (</w:t>
      </w:r>
      <w:r>
        <w:rPr>
          <w:b/>
          <w:bCs/>
        </w:rPr>
        <w:t xml:space="preserve">NFR-010</w:t>
      </w:r>
      <w:r>
        <w:t xml:space="preserve">,</w:t>
      </w:r>
      <w:r>
        <w:t xml:space="preserve"> </w:t>
      </w:r>
      <w:r>
        <w:rPr>
          <w:b/>
          <w:bCs/>
        </w:rPr>
        <w:t xml:space="preserve">NFR-012</w:t>
      </w:r>
      <w:r>
        <w:t xml:space="preserve">). Detailed acceptance steps remain authoritative in the engineering requirement files under</w:t>
      </w:r>
      <w:r>
        <w:t xml:space="preserve"> </w:t>
      </w:r>
      <w:hyperlink r:id="rId13">
        <w:r>
          <w:rPr>
            <w:rStyle w:val="VerbatimChar"/>
          </w:rPr>
          <w:t xml:space="preserve">../../functional/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VerbatimChar"/>
          </w:rPr>
          <w:t xml:space="preserve">../../non-functional/</w:t>
        </w:r>
      </w:hyperlink>
      <w:r>
        <w:t xml:space="preserve">; this chapter</w:t>
      </w:r>
      <w:r>
        <w:t xml:space="preserve"> </w:t>
      </w:r>
      <w:r>
        <w:rPr>
          <w:b/>
          <w:bCs/>
        </w:rPr>
        <w:t xml:space="preserve">aggregates</w:t>
      </w:r>
      <w:r>
        <w:t xml:space="preserve"> </w:t>
      </w:r>
      <w:r>
        <w:t xml:space="preserve">them for examination narrative.</w:t>
      </w:r>
    </w:p>
    <w:p>
      <w:pPr>
        <w:pStyle w:val="BodyText"/>
      </w:pPr>
      <w:r>
        <w:t xml:space="preserve">Traceability identifiers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reference Appendix 11.1 requirement tables for export. Mapping from requirements and design use cases to this chapter appears in</w:t>
      </w:r>
      <w:r>
        <w:t xml:space="preserve"> </w:t>
      </w:r>
      <w:hyperlink r:id="rId15">
        <w:r>
          <w:rPr>
            <w:rStyle w:val="VerbatimChar"/>
          </w:rPr>
          <w:t xml:space="preserve">academic-requirements-traceability-evaluation.md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3" w:name="testing-strategy"/>
    <w:p>
      <w:pPr>
        <w:pStyle w:val="Heading2"/>
      </w:pPr>
      <w:r>
        <w:t xml:space="preserve">7.1 Testing strategy</w:t>
      </w:r>
    </w:p>
    <w:bookmarkStart w:id="17" w:name="objectives"/>
    <w:p>
      <w:pPr>
        <w:pStyle w:val="Heading3"/>
      </w:pPr>
      <w:r>
        <w:t xml:space="preserve">7.1.1 Objectives</w:t>
      </w:r>
    </w:p>
    <w:p>
      <w:pPr>
        <w:pStyle w:val="FirstParagraph"/>
      </w:pPr>
      <w:r>
        <w:t xml:space="preserve">The evaluation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determine whether the client</w:t>
      </w:r>
      <w:r>
        <w:t xml:space="preserve"> </w:t>
      </w:r>
      <w:r>
        <w:rPr>
          <w:b/>
          <w:bCs/>
        </w:rPr>
        <w:t xml:space="preserve">satisfies</w:t>
      </w:r>
      <w:r>
        <w:t xml:space="preserve"> </w:t>
      </w:r>
      <w:r>
        <w:rPr>
          <w:b/>
          <w:bCs/>
        </w:rPr>
        <w:t xml:space="preserve">FR-001–FR-017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NFR-001–NFR-012</w:t>
      </w:r>
      <w:r>
        <w:t xml:space="preserve"> </w:t>
      </w:r>
      <w:r>
        <w:t xml:space="preserve">within the project’s scope: a</w:t>
      </w:r>
      <w:r>
        <w:t xml:space="preserve"> </w:t>
      </w:r>
      <w:r>
        <w:rPr>
          <w:b/>
          <w:bCs/>
        </w:rPr>
        <w:t xml:space="preserve">thin</w:t>
      </w:r>
      <w:r>
        <w:t xml:space="preserve"> </w:t>
      </w:r>
      <w:r>
        <w:t xml:space="preserve">mobile client integrating</w:t>
      </w:r>
      <w:r>
        <w:t xml:space="preserve"> </w:t>
      </w:r>
      <w:r>
        <w:rPr>
          <w:b/>
          <w:bCs/>
        </w:rPr>
        <w:t xml:space="preserve">CometChat</w:t>
      </w:r>
      <w:r>
        <w:t xml:space="preserve"> </w:t>
      </w:r>
      <w:r>
        <w:t xml:space="preserve">and platform services, without a student-built chat server.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priority requirements from Chapter 4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form the</w:t>
      </w:r>
      <w:r>
        <w:t xml:space="preserve"> </w:t>
      </w:r>
      <w:r>
        <w:rPr>
          <w:b/>
          <w:bCs/>
        </w:rPr>
        <w:t xml:space="preserve">minimum bar</w:t>
      </w:r>
      <w:r>
        <w:t xml:space="preserve"> </w:t>
      </w:r>
      <w:r>
        <w:t xml:space="preserve">for a successful supervised demonstration.</w:t>
      </w:r>
    </w:p>
    <w:bookmarkEnd w:id="17"/>
    <w:bookmarkStart w:id="19" w:name="scope-and-exclusions"/>
    <w:p>
      <w:pPr>
        <w:pStyle w:val="Heading3"/>
      </w:pPr>
      <w:r>
        <w:t xml:space="preserve">7.1.2 Scope and exclusions</w:t>
      </w:r>
    </w:p>
    <w:p>
      <w:pPr>
        <w:pStyle w:val="FirstParagraph"/>
      </w:pPr>
      <w:r>
        <w:rPr>
          <w:b/>
          <w:bCs/>
        </w:rPr>
        <w:t xml:space="preserve">In scope: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Functional walkthroughs</w:t>
      </w:r>
      <w:r>
        <w:t xml:space="preserve"> </w:t>
      </w:r>
      <w:r>
        <w:t xml:space="preserve">along critical paths aligned with design use cases UC-01–UC-12 (Chapter 5, §5.2).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</w:t>
      </w:r>
      <w:r>
        <w:t xml:space="preserve"> </w:t>
      </w:r>
      <w:r>
        <w:t xml:space="preserve">checks of messaging, calls, navigation, configuration, notifications, and privacy messaging UX.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Inspection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(or equivalent),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and key modules under</w:t>
      </w:r>
      <w:r>
        <w:t xml:space="preserve"> </w:t>
      </w:r>
      <w:hyperlink r:id="rId18">
        <w:r>
          <w:rPr>
            <w:rStyle w:val="VerbatimChar"/>
          </w:rPr>
          <w:t xml:space="preserve">examples/SecureChatApp/</w:t>
        </w:r>
      </w:hyperlink>
      <w:r>
        <w:t xml:space="preserve"> </w:t>
      </w:r>
      <w:r>
        <w:t xml:space="preserve">for compatibility and declared capabilities.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</w:t>
      </w:r>
      <w:r>
        <w:t xml:space="preserve"> </w:t>
      </w:r>
      <w:r>
        <w:t xml:space="preserve">checks: push token acquisition, notification display, and call presentation on supported platforms—subject to test credentials and device availability.</w:t>
      </w:r>
    </w:p>
    <w:p>
      <w:pPr>
        <w:pStyle w:val="FirstParagraph"/>
      </w:pPr>
      <w:r>
        <w:rPr>
          <w:b/>
          <w:bCs/>
        </w:rPr>
        <w:t xml:space="preserve">Out of scope</w:t>
      </w:r>
      <w:r>
        <w:t xml:space="preserve"> </w:t>
      </w:r>
      <w:r>
        <w:t xml:space="preserve">(unless explicitly added later):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Penetration testing</w:t>
      </w:r>
      <w:r>
        <w:t xml:space="preserve"> </w:t>
      </w:r>
      <w:r>
        <w:t xml:space="preserve">or formal cryptographic verification of CometChat’s protocols.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stress</w:t>
      </w:r>
      <w:r>
        <w:t xml:space="preserve"> </w:t>
      </w:r>
      <w:r>
        <w:t xml:space="preserve">testing of vendor infrastructure.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</w:t>
      </w:r>
      <w:r>
        <w:t xml:space="preserve"> </w:t>
      </w:r>
      <w:r>
        <w:t xml:space="preserve">UI or unit test suites as primary pass/fail evidence (</w:t>
      </w:r>
      <w:r>
        <w:rPr>
          <w:b/>
          <w:bCs/>
        </w:rPr>
        <w:t xml:space="preserve">NFR-012</w:t>
      </w:r>
      <w:r>
        <w:t xml:space="preserve">).</w:t>
      </w:r>
    </w:p>
    <w:bookmarkEnd w:id="19"/>
    <w:bookmarkStart w:id="20" w:name="test-environment"/>
    <w:p>
      <w:pPr>
        <w:pStyle w:val="Heading3"/>
      </w:pPr>
      <w:r>
        <w:t xml:space="preserve">7.1.3 Test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under test</w:t>
            </w:r>
          </w:p>
        </w:tc>
        <w:tc>
          <w:tcPr/>
          <w:p>
            <w:pPr>
              <w:pStyle w:val="Compact"/>
            </w:pPr>
            <w:r>
              <w:t xml:space="preserve">Reference build from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examples/SecureChatApp/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</w:t>
            </w:r>
            <w:r>
              <w:t xml:space="preserve"> </w:t>
            </w:r>
            <w:r>
              <w:t xml:space="preserve">(Simulator and/or device),</w:t>
            </w:r>
            <w:r>
              <w:t xml:space="preserve"> </w:t>
            </w:r>
            <w:r>
              <w:rPr>
                <w:b/>
                <w:bCs/>
              </w:rPr>
              <w:t xml:space="preserve">Android</w:t>
            </w:r>
            <w:r>
              <w:t xml:space="preserve"> </w:t>
            </w:r>
            <w:r>
              <w:t xml:space="preserve">(emulator and/or device)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Expo dev client workflow; developer console for logs (</w:t>
            </w:r>
            <w:r>
              <w:rPr>
                <w:b/>
                <w:bCs/>
              </w:rPr>
              <w:t xml:space="preserve">NFR-010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services</w:t>
            </w:r>
          </w:p>
        </w:tc>
        <w:tc>
          <w:tcPr/>
          <w:p>
            <w:pPr>
              <w:pStyle w:val="Compact"/>
            </w:pPr>
            <w:r>
              <w:t xml:space="preserve">CometChat</w:t>
            </w:r>
            <w:r>
              <w:t xml:space="preserve"> </w:t>
            </w:r>
            <w:r>
              <w:rPr>
                <w:b/>
                <w:bCs/>
              </w:rPr>
              <w:t xml:space="preserve">sandbox</w:t>
            </w:r>
            <w:r>
              <w:t xml:space="preserve"> </w:t>
            </w:r>
            <w:r>
              <w:t xml:space="preserve">or project-appropriate tenant; Firebase project for FCM (test configuration—</w:t>
            </w:r>
            <w:r>
              <w:rPr>
                <w:b/>
                <w:bCs/>
              </w:rPr>
              <w:t xml:space="preserve">no secrets in the thesis body</w:t>
            </w:r>
            <w:r>
              <w:t xml:space="preserve">)</w:t>
            </w:r>
          </w:p>
        </w:tc>
      </w:tr>
    </w:tbl>
    <w:bookmarkEnd w:id="20"/>
    <w:bookmarkStart w:id="21" w:name="traceability-and-priority"/>
    <w:p>
      <w:pPr>
        <w:pStyle w:val="Heading3"/>
      </w:pPr>
      <w:r>
        <w:t xml:space="preserve">7.1.4 Traceability and priority</w:t>
      </w:r>
    </w:p>
    <w:p>
      <w:pPr>
        <w:pStyle w:val="FirstParagraph"/>
      </w:pPr>
      <w:r>
        <w:t xml:space="preserve">Each test theme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cite</w:t>
      </w:r>
      <w:r>
        <w:t xml:space="preserve"> </w:t>
      </w:r>
      <w:r>
        <w:rPr>
          <w:b/>
          <w:bCs/>
        </w:rPr>
        <w:t xml:space="preserve">FR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NFR</w:t>
      </w:r>
      <w:r>
        <w:t xml:space="preserve"> </w:t>
      </w:r>
      <w:r>
        <w:t xml:space="preserve">identifiers.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priority items (see</w:t>
      </w:r>
      <w:r>
        <w:t xml:space="preserve"> </w:t>
      </w:r>
      <w:hyperlink r:id="rId9">
        <w:r>
          <w:rPr>
            <w:rStyle w:val="VerbatimChar"/>
          </w:rPr>
          <w:t xml:space="preserve">../requirements-tables.md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exercised before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items when time is constrained.</w:t>
      </w:r>
      <w:r>
        <w:t xml:space="preserve"> </w:t>
      </w:r>
      <w:r>
        <w:rPr>
          <w:b/>
          <w:bCs/>
        </w:rPr>
        <w:t xml:space="preserve">Inferred</w:t>
      </w:r>
      <w:r>
        <w:t xml:space="preserve"> </w:t>
      </w:r>
      <w:r>
        <w:t xml:space="preserve">confidence requirements (for example</w:t>
      </w:r>
      <w:r>
        <w:t xml:space="preserve"> </w:t>
      </w:r>
      <w:r>
        <w:rPr>
          <w:b/>
          <w:bCs/>
        </w:rPr>
        <w:t xml:space="preserve">FR-008</w:t>
      </w:r>
      <w:r>
        <w:t xml:space="preserve">)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labelled in test logs so examiners can reconcile with Chapter 4.</w:t>
      </w:r>
    </w:p>
    <w:bookmarkEnd w:id="21"/>
    <w:bookmarkStart w:id="22" w:name="relation-to-implementation-locations"/>
    <w:p>
      <w:pPr>
        <w:pStyle w:val="Heading3"/>
      </w:pPr>
      <w:r>
        <w:t xml:space="preserve">7.1.5 Relation to implementation locations</w:t>
      </w:r>
    </w:p>
    <w:p>
      <w:pPr>
        <w:pStyle w:val="FirstParagraph"/>
      </w:pPr>
      <w:r>
        <w:t xml:space="preserve">Test cases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mapped loosely to modules in Chapter 6 §6.2 (for example navigation under</w:t>
      </w:r>
      <w:r>
        <w:t xml:space="preserve"> </w:t>
      </w:r>
      <w:r>
        <w:rPr>
          <w:rStyle w:val="VerbatimChar"/>
        </w:rPr>
        <w:t xml:space="preserve">src/navigation/</w:t>
      </w:r>
      <w:r>
        <w:t xml:space="preserve">, push under</w:t>
      </w:r>
      <w:r>
        <w:t xml:space="preserve"> </w:t>
      </w:r>
      <w:r>
        <w:rPr>
          <w:rStyle w:val="VerbatimChar"/>
        </w:rPr>
        <w:t xml:space="preserve">src/utils/</w:t>
      </w:r>
      <w:r>
        <w:t xml:space="preserve">) to support Appendix 11.3</w:t>
      </w:r>
      <w:r>
        <w:t xml:space="preserve"> </w:t>
      </w:r>
      <w:r>
        <w:rPr>
          <w:b/>
          <w:bCs/>
        </w:rPr>
        <w:t xml:space="preserve">repository evidence</w:t>
      </w:r>
      <w:r>
        <w:t xml:space="preserve"> </w:t>
      </w:r>
      <w:r>
        <w:t xml:space="preserve">without duplicating full file lists here.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functional-testing"/>
    <w:p>
      <w:pPr>
        <w:pStyle w:val="Heading2"/>
      </w:pPr>
      <w:r>
        <w:t xml:space="preserve">7.2 Functional testing</w:t>
      </w:r>
    </w:p>
    <w:p>
      <w:pPr>
        <w:pStyle w:val="FirstParagraph"/>
      </w:pPr>
      <w:r>
        <w:t xml:space="preserve">Test cases use identifiers</w:t>
      </w:r>
      <w:r>
        <w:t xml:space="preserve"> </w:t>
      </w:r>
      <w:r>
        <w:rPr>
          <w:b/>
          <w:bCs/>
        </w:rPr>
        <w:t xml:space="preserve">TC-FR-xxx-n</w:t>
      </w:r>
      <w:r>
        <w:t xml:space="preserve">. Preconditions assume a</w:t>
      </w:r>
      <w:r>
        <w:t xml:space="preserve"> </w:t>
      </w:r>
      <w:r>
        <w:rPr>
          <w:b/>
          <w:bCs/>
        </w:rPr>
        <w:t xml:space="preserve">clean install</w:t>
      </w:r>
      <w:r>
        <w:t xml:space="preserve"> </w:t>
      </w:r>
      <w:r>
        <w:t xml:space="preserve">or documented reset unless otherwise stated. Expected results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marked</w:t>
      </w:r>
      <w:r>
        <w:t xml:space="preserve"> </w:t>
      </w:r>
      <w:r>
        <w:rPr>
          <w:b/>
          <w:bCs/>
        </w:rPr>
        <w:t xml:space="preserve">pass / fail / blocked</w:t>
      </w:r>
      <w:r>
        <w:t xml:space="preserve"> </w:t>
      </w:r>
      <w:r>
        <w:t xml:space="preserve">when evaluation runs.</w:t>
      </w:r>
    </w:p>
    <w:bookmarkStart w:id="24" w:name="X9fd56dde2af7976a025ddee91a2e3d7923c8cb6"/>
    <w:p>
      <w:pPr>
        <w:pStyle w:val="Heading3"/>
      </w:pPr>
      <w:r>
        <w:t xml:space="preserve">7.2.1 Bootstrap and authentication (FR-001–FR-003)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692"/>
        <w:gridCol w:w="1108"/>
        <w:gridCol w:w="2692"/>
        <w:gridCol w:w="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TC-FR-001-01</w:t>
            </w:r>
          </w:p>
        </w:tc>
        <w:tc>
          <w:tcPr/>
          <w:p>
            <w:pPr>
              <w:pStyle w:val="Compact"/>
            </w:pPr>
            <w:r>
              <w:t xml:space="preserve">Valid CometChat app credentials available</w:t>
            </w:r>
          </w:p>
        </w:tc>
        <w:tc>
          <w:tcPr/>
          <w:p>
            <w:pPr>
              <w:pStyle w:val="Compact"/>
            </w:pPr>
            <w:r>
              <w:t xml:space="preserve">Launch app; observe startup until interactive</w:t>
            </w:r>
          </w:p>
        </w:tc>
        <w:tc>
          <w:tcPr/>
          <w:p>
            <w:pPr>
              <w:pStyle w:val="Compact"/>
            </w:pPr>
            <w:r>
              <w:t xml:space="preserve">SDK/UIKit initialisation completes without blocking the app indefinitely; user can proceed to credential or login flow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TC-FR-002-01</w:t>
            </w:r>
          </w:p>
        </w:tc>
        <w:tc>
          <w:tcPr/>
          <w:p>
            <w:pPr>
              <w:pStyle w:val="Compact"/>
            </w:pPr>
            <w:r>
              <w:t xml:space="preserve">First launch or cleared storage</w:t>
            </w:r>
          </w:p>
        </w:tc>
        <w:tc>
          <w:tcPr/>
          <w:p>
            <w:pPr>
              <w:pStyle w:val="Compact"/>
            </w:pPr>
            <w:r>
              <w:t xml:space="preserve">Enter app ID, auth key, region; save</w:t>
            </w:r>
          </w:p>
        </w:tc>
        <w:tc>
          <w:tcPr/>
          <w:p>
            <w:pPr>
              <w:pStyle w:val="Compact"/>
            </w:pPr>
            <w:r>
              <w:t xml:space="preserve">Credentials persist; SDK</w:t>
            </w:r>
            <w:r>
              <w:t xml:space="preserve"> </w:t>
            </w:r>
            <w:r>
              <w:rPr>
                <w:b/>
                <w:bCs/>
              </w:rPr>
              <w:t xml:space="preserve">will</w:t>
            </w:r>
            <w:r>
              <w:t xml:space="preserve"> </w:t>
            </w:r>
            <w:r>
              <w:t xml:space="preserve">re-initialise appropriately on next launch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TC-FR-002-02</w:t>
            </w:r>
          </w:p>
        </w:tc>
        <w:tc>
          <w:tcPr/>
          <w:p>
            <w:pPr>
              <w:pStyle w:val="Compact"/>
            </w:pPr>
            <w:r>
              <w:t xml:space="preserve">Invalid or missing credentials</w:t>
            </w:r>
          </w:p>
        </w:tc>
        <w:tc>
          <w:tcPr/>
          <w:p>
            <w:pPr>
              <w:pStyle w:val="Compact"/>
            </w:pPr>
            <w:r>
              <w:t xml:space="preserve">Attempt to proceed without valid credentials</w:t>
            </w:r>
          </w:p>
        </w:tc>
        <w:tc>
          <w:tcPr/>
          <w:p>
            <w:pPr>
              <w:pStyle w:val="Compact"/>
            </w:pPr>
            <w:r>
              <w:t xml:space="preserve">User remains on credential capture or equivalent until resolved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TC-FR-003-01</w:t>
            </w:r>
          </w:p>
        </w:tc>
        <w:tc>
          <w:tcPr/>
          <w:p>
            <w:pPr>
              <w:pStyle w:val="Compact"/>
            </w:pPr>
            <w:r>
              <w:t xml:space="preserve">Credentials valid; SDK ready</w:t>
            </w:r>
          </w:p>
        </w:tc>
        <w:tc>
          <w:tcPr/>
          <w:p>
            <w:pPr>
              <w:pStyle w:val="Compact"/>
            </w:pPr>
            <w:r>
              <w:t xml:space="preserve">Enter UID; submit login</w:t>
            </w:r>
          </w:p>
        </w:tc>
        <w:tc>
          <w:tcPr/>
          <w:p>
            <w:pPr>
              <w:pStyle w:val="Compact"/>
            </w:pPr>
            <w:r>
              <w:t xml:space="preserve">Authenticated session established; primary tabbed experience reachable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</w:tr>
    </w:tbl>
    <w:bookmarkEnd w:id="24"/>
    <w:bookmarkStart w:id="25" w:name="X2940a6aef9b1680c8ce43ae45432ea45b1f4cfb"/>
    <w:p>
      <w:pPr>
        <w:pStyle w:val="Heading3"/>
      </w:pPr>
      <w:r>
        <w:t xml:space="preserve">7.2.2 Configuration and navigation (FR-004–FR-006)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692"/>
        <w:gridCol w:w="1108"/>
        <w:gridCol w:w="2692"/>
        <w:gridCol w:w="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TC-FR-004-01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Launch app; inspect tab order and styling</w:t>
            </w:r>
          </w:p>
        </w:tc>
        <w:tc>
          <w:tcPr/>
          <w:p>
            <w:pPr>
              <w:pStyle w:val="Compact"/>
            </w:pPr>
            <w:r>
              <w:t xml:space="preserve">Tabs and theme reflect stored/builder configuration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TC-FR-005-01</w:t>
            </w:r>
          </w:p>
        </w:tc>
        <w:tc>
          <w:tcPr/>
          <w:p>
            <w:pPr>
              <w:pStyle w:val="Compact"/>
            </w:pPr>
            <w:r>
              <w:t xml:space="preserve">QR flow available</w:t>
            </w:r>
          </w:p>
        </w:tc>
        <w:tc>
          <w:tcPr/>
          <w:p>
            <w:pPr>
              <w:pStyle w:val="Compact"/>
            </w:pPr>
            <w:r>
              <w:t xml:space="preserve">Scan valid QR (or simulate fetch); confirm</w:t>
            </w:r>
          </w:p>
        </w:tc>
        <w:tc>
          <w:tcPr/>
          <w:p>
            <w:pPr>
              <w:pStyle w:val="Compact"/>
            </w:pPr>
            <w:r>
              <w:t xml:space="preserve">Builder configuration updates; tabs/theme refresh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TC-FR-006-01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Navigate between stack screens and tabs</w:t>
            </w:r>
          </w:p>
        </w:tc>
        <w:tc>
          <w:tcPr/>
          <w:p>
            <w:pPr>
              <w:pStyle w:val="Compact"/>
            </w:pPr>
            <w:r>
              <w:t xml:space="preserve">Transitions succeed; no crash when switching major areas</w:t>
            </w:r>
          </w:p>
        </w:tc>
        <w:tc>
          <w:tcPr/>
          <w:p>
            <w:pPr>
              <w:pStyle w:val="Compact"/>
            </w:pPr>
            <w:r>
              <w:t xml:space="preserve">FR-006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TC-FR-006-02</w:t>
            </w:r>
          </w:p>
        </w:tc>
        <w:tc>
          <w:tcPr/>
          <w:p>
            <w:pPr>
              <w:pStyle w:val="Compact"/>
            </w:pPr>
            <w:r>
              <w:t xml:space="preserve">Cold start with pending deep link intent (if simulated)</w:t>
            </w:r>
          </w:p>
        </w:tc>
        <w:tc>
          <w:tcPr/>
          <w:p>
            <w:pPr>
              <w:pStyle w:val="Compact"/>
            </w:pPr>
            <w:r>
              <w:t xml:space="preserve">Open app from notification payload (test harness)</w:t>
            </w:r>
          </w:p>
        </w:tc>
        <w:tc>
          <w:tcPr/>
          <w:p>
            <w:pPr>
              <w:pStyle w:val="Compact"/>
            </w:pPr>
            <w:r>
              <w:t xml:space="preserve">Deferred navigation</w:t>
            </w:r>
            <w:r>
              <w:t xml:space="preserve"> </w:t>
            </w:r>
            <w:r>
              <w:rPr>
                <w:b/>
                <w:bCs/>
              </w:rPr>
              <w:t xml:space="preserve">will</w:t>
            </w:r>
            <w:r>
              <w:t xml:space="preserve"> </w:t>
            </w:r>
            <w:r>
              <w:t xml:space="preserve">flush when container ready</w:t>
            </w:r>
          </w:p>
        </w:tc>
        <w:tc>
          <w:tcPr/>
          <w:p>
            <w:pPr>
              <w:pStyle w:val="Compact"/>
            </w:pPr>
            <w:r>
              <w:t xml:space="preserve">FR-006, FR-016</w:t>
            </w:r>
          </w:p>
        </w:tc>
      </w:tr>
    </w:tbl>
    <w:bookmarkEnd w:id="25"/>
    <w:bookmarkStart w:id="26" w:name="messaging-fr-007fr-009"/>
    <w:p>
      <w:pPr>
        <w:pStyle w:val="Heading3"/>
      </w:pPr>
      <w:r>
        <w:t xml:space="preserve">7.2.3 Messaging (FR-007–FR-009)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692"/>
        <w:gridCol w:w="1108"/>
        <w:gridCol w:w="2692"/>
        <w:gridCol w:w="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TC-FR-007-01</w:t>
            </w:r>
          </w:p>
        </w:tc>
        <w:tc>
          <w:tcPr/>
          <w:p>
            <w:pPr>
              <w:pStyle w:val="Compact"/>
            </w:pPr>
            <w:r>
              <w:t xml:space="preserve">Logged in; peer or group available</w:t>
            </w:r>
          </w:p>
        </w:tc>
        <w:tc>
          <w:tcPr/>
          <w:p>
            <w:pPr>
              <w:pStyle w:val="Compact"/>
            </w:pPr>
            <w:r>
              <w:t xml:space="preserve">Open conversation; send and receive a message</w:t>
            </w:r>
          </w:p>
        </w:tc>
        <w:tc>
          <w:tcPr/>
          <w:p>
            <w:pPr>
              <w:pStyle w:val="Compact"/>
            </w:pPr>
            <w:r>
              <w:t xml:space="preserve">Messages appear in thread; real-time update observable</w:t>
            </w:r>
          </w:p>
        </w:tc>
        <w:tc>
          <w:tcPr/>
          <w:p>
            <w:pPr>
              <w:pStyle w:val="Compact"/>
            </w:pPr>
            <w:r>
              <w:t xml:space="preserve">FR-007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TC-FR-008-01</w:t>
            </w:r>
          </w:p>
        </w:tc>
        <w:tc>
          <w:tcPr/>
          <w:p>
            <w:pPr>
              <w:pStyle w:val="Compact"/>
            </w:pPr>
            <w:r>
              <w:t xml:space="preserve">Thread-capable conversation</w:t>
            </w:r>
          </w:p>
        </w:tc>
        <w:tc>
          <w:tcPr/>
          <w:p>
            <w:pPr>
              <w:pStyle w:val="Compact"/>
            </w:pPr>
            <w:r>
              <w:t xml:space="preserve">Open thread from parent message</w:t>
            </w:r>
          </w:p>
        </w:tc>
        <w:tc>
          <w:tcPr/>
          <w:p>
            <w:pPr>
              <w:pStyle w:val="Compact"/>
            </w:pPr>
            <w:r>
              <w:t xml:space="preserve">Thread history scoped to thread</w:t>
            </w:r>
          </w:p>
        </w:tc>
        <w:tc>
          <w:tcPr/>
          <w:p>
            <w:pPr>
              <w:pStyle w:val="Compact"/>
            </w:pPr>
            <w:r>
              <w:t xml:space="preserve">FR-008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TC-FR-009-01</w:t>
            </w:r>
          </w:p>
        </w:tc>
        <w:tc>
          <w:tcPr/>
          <w:p>
            <w:pPr>
              <w:pStyle w:val="Compact"/>
            </w:pPr>
            <w:r>
              <w:t xml:space="preserve">Messages present in conversation</w:t>
            </w:r>
          </w:p>
        </w:tc>
        <w:tc>
          <w:tcPr/>
          <w:p>
            <w:pPr>
              <w:pStyle w:val="Compact"/>
            </w:pPr>
            <w:r>
              <w:t xml:space="preserve">Run in-conversation search; open result</w:t>
            </w:r>
          </w:p>
        </w:tc>
        <w:tc>
          <w:tcPr/>
          <w:p>
            <w:pPr>
              <w:pStyle w:val="Compact"/>
            </w:pPr>
            <w:r>
              <w:t xml:space="preserve">Navigates to message or thread context</w:t>
            </w:r>
          </w:p>
        </w:tc>
        <w:tc>
          <w:tcPr/>
          <w:p>
            <w:pPr>
              <w:pStyle w:val="Compact"/>
            </w:pPr>
            <w:r>
              <w:t xml:space="preserve">FR-009</w:t>
            </w:r>
          </w:p>
        </w:tc>
      </w:tr>
    </w:tbl>
    <w:bookmarkEnd w:id="26"/>
    <w:bookmarkStart w:id="27" w:name="users-and-groups-fr-010fr-011"/>
    <w:p>
      <w:pPr>
        <w:pStyle w:val="Heading3"/>
      </w:pPr>
      <w:r>
        <w:t xml:space="preserve">7.2.4 Users and groups (FR-010–FR-011)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692"/>
        <w:gridCol w:w="1108"/>
        <w:gridCol w:w="2692"/>
        <w:gridCol w:w="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TC-FR-010-01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Open user directory; open user profile</w:t>
            </w:r>
          </w:p>
        </w:tc>
        <w:tc>
          <w:tcPr/>
          <w:p>
            <w:pPr>
              <w:pStyle w:val="Compact"/>
            </w:pPr>
            <w:r>
              <w:t xml:space="preserve">List and profile render; actions consistent with UIKit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TC-FR-011-01</w:t>
            </w:r>
          </w:p>
        </w:tc>
        <w:tc>
          <w:tcPr/>
          <w:p>
            <w:pPr>
              <w:pStyle w:val="Compact"/>
            </w:pPr>
            <w:r>
              <w:t xml:space="preserve">Group permissions available</w:t>
            </w:r>
          </w:p>
        </w:tc>
        <w:tc>
          <w:tcPr/>
          <w:p>
            <w:pPr>
              <w:pStyle w:val="Compact"/>
            </w:pPr>
            <w:r>
              <w:t xml:space="preserve">Create or join group; open group management screens</w:t>
            </w:r>
          </w:p>
        </w:tc>
        <w:tc>
          <w:tcPr/>
          <w:p>
            <w:pPr>
              <w:pStyle w:val="Compact"/>
            </w:pPr>
            <w:r>
              <w:t xml:space="preserve">Group info, members, moderation flows reachable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</w:tr>
    </w:tbl>
    <w:bookmarkEnd w:id="27"/>
    <w:bookmarkStart w:id="28" w:name="calls-fr-012fr-014"/>
    <w:p>
      <w:pPr>
        <w:pStyle w:val="Heading3"/>
      </w:pPr>
      <w:r>
        <w:t xml:space="preserve">7.2.5 Calls (FR-012–FR-014)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692"/>
        <w:gridCol w:w="1108"/>
        <w:gridCol w:w="2692"/>
        <w:gridCol w:w="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TC-FR-012-01</w:t>
            </w:r>
          </w:p>
        </w:tc>
        <w:tc>
          <w:tcPr/>
          <w:p>
            <w:pPr>
              <w:pStyle w:val="Compact"/>
            </w:pPr>
            <w:r>
              <w:t xml:space="preserve">Call history available</w:t>
            </w:r>
          </w:p>
        </w:tc>
        <w:tc>
          <w:tcPr/>
          <w:p>
            <w:pPr>
              <w:pStyle w:val="Compact"/>
            </w:pPr>
            <w:r>
              <w:t xml:space="preserve">Open Calls tab; view log and detail</w:t>
            </w:r>
          </w:p>
        </w:tc>
        <w:tc>
          <w:tcPr/>
          <w:p>
            <w:pPr>
              <w:pStyle w:val="Compact"/>
            </w:pPr>
            <w:r>
              <w:t xml:space="preserve">History and detail screens load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TC-FR-012-02</w:t>
            </w:r>
          </w:p>
        </w:tc>
        <w:tc>
          <w:tcPr/>
          <w:p>
            <w:pPr>
              <w:pStyle w:val="Compact"/>
            </w:pPr>
            <w:r>
              <w:t xml:space="preserve">Active call scenario</w:t>
            </w:r>
          </w:p>
        </w:tc>
        <w:tc>
          <w:tcPr/>
          <w:p>
            <w:pPr>
              <w:pStyle w:val="Compact"/>
            </w:pPr>
            <w:r>
              <w:t xml:space="preserve">Join ongoing session UI</w:t>
            </w:r>
          </w:p>
        </w:tc>
        <w:tc>
          <w:tcPr/>
          <w:p>
            <w:pPr>
              <w:pStyle w:val="Compact"/>
            </w:pPr>
            <w:r>
              <w:t xml:space="preserve">Ongoing call screen reflects session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TC-FR-013-01</w:t>
            </w:r>
          </w:p>
        </w:tc>
        <w:tc>
          <w:tcPr/>
          <w:p>
            <w:pPr>
              <w:pStyle w:val="Compact"/>
            </w:pPr>
            <w:r>
              <w:t xml:space="preserve">Incoming call test possible</w:t>
            </w:r>
          </w:p>
        </w:tc>
        <w:tc>
          <w:tcPr/>
          <w:p>
            <w:pPr>
              <w:pStyle w:val="Compact"/>
            </w:pPr>
            <w:r>
              <w:t xml:space="preserve">Trigger incoming call; accept/decline</w:t>
            </w:r>
          </w:p>
        </w:tc>
        <w:tc>
          <w:tcPr/>
          <w:p>
            <w:pPr>
              <w:pStyle w:val="Compact"/>
            </w:pPr>
            <w:r>
              <w:t xml:space="preserve">Incoming UI appears; actions respected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TC-FR-013-02</w:t>
            </w:r>
          </w:p>
        </w:tc>
        <w:tc>
          <w:tcPr/>
          <w:p>
            <w:pPr>
              <w:pStyle w:val="Compact"/>
            </w:pPr>
            <w:r>
              <w:t xml:space="preserve">Concurrent call policy</w:t>
            </w:r>
          </w:p>
        </w:tc>
        <w:tc>
          <w:tcPr/>
          <w:p>
            <w:pPr>
              <w:pStyle w:val="Compact"/>
            </w:pPr>
            <w:r>
              <w:t xml:space="preserve">Place or simulate busy condition</w:t>
            </w:r>
          </w:p>
        </w:tc>
        <w:tc>
          <w:tcPr/>
          <w:p>
            <w:pPr>
              <w:pStyle w:val="Compact"/>
            </w:pPr>
            <w:r>
              <w:t xml:space="preserve">Busy rejection per product rules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TC-FR-014-01</w:t>
            </w:r>
          </w:p>
        </w:tc>
        <w:tc>
          <w:tcPr/>
          <w:p>
            <w:pPr>
              <w:pStyle w:val="Compact"/>
            </w:pPr>
            <w:r>
              <w:t xml:space="preserve">Native integration enabled</w:t>
            </w:r>
          </w:p>
        </w:tc>
        <w:tc>
          <w:tcPr/>
          <w:p>
            <w:pPr>
              <w:pStyle w:val="Compact"/>
            </w:pPr>
            <w:r>
              <w:t xml:space="preserve">Observe CallKeep / platform call UI</w:t>
            </w:r>
          </w:p>
        </w:tc>
        <w:tc>
          <w:tcPr/>
          <w:p>
            <w:pPr>
              <w:pStyle w:val="Compact"/>
            </w:pPr>
            <w:r>
              <w:t xml:space="preserve">System-consistent presentation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</w:tr>
    </w:tbl>
    <w:bookmarkEnd w:id="28"/>
    <w:bookmarkStart w:id="29" w:name="notifications-fr-015fr-016"/>
    <w:p>
      <w:pPr>
        <w:pStyle w:val="Heading3"/>
      </w:pPr>
      <w:r>
        <w:t xml:space="preserve">7.2.6 Notifications (FR-015–FR-016)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692"/>
        <w:gridCol w:w="1108"/>
        <w:gridCol w:w="2692"/>
        <w:gridCol w:w="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TC-FR-015-01</w:t>
            </w:r>
          </w:p>
        </w:tc>
        <w:tc>
          <w:tcPr/>
          <w:p>
            <w:pPr>
              <w:pStyle w:val="Compact"/>
            </w:pPr>
            <w:r>
              <w:t xml:space="preserve">Permissions granted</w:t>
            </w:r>
          </w:p>
        </w:tc>
        <w:tc>
          <w:tcPr/>
          <w:p>
            <w:pPr>
              <w:pStyle w:val="Compact"/>
            </w:pPr>
            <w:r>
              <w:t xml:space="preserve">Launch; observe token registration path</w:t>
            </w:r>
          </w:p>
        </w:tc>
        <w:tc>
          <w:tcPr/>
          <w:p>
            <w:pPr>
              <w:pStyle w:val="Compact"/>
            </w:pPr>
            <w:r>
              <w:t xml:space="preserve">FCM/APNs (and VoIP if used) registered with CometChat</w:t>
            </w:r>
          </w:p>
        </w:tc>
        <w:tc>
          <w:tcPr/>
          <w:p>
            <w:pPr>
              <w:pStyle w:val="Compact"/>
            </w:pPr>
            <w:r>
              <w:t xml:space="preserve">FR-015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TC-FR-016-01</w:t>
            </w:r>
          </w:p>
        </w:tc>
        <w:tc>
          <w:tcPr/>
          <w:p>
            <w:pPr>
              <w:pStyle w:val="Compact"/>
            </w:pPr>
            <w:r>
              <w:t xml:space="preserve">Remote message possible</w:t>
            </w:r>
          </w:p>
        </w:tc>
        <w:tc>
          <w:tcPr/>
          <w:p>
            <w:pPr>
              <w:pStyle w:val="Compact"/>
            </w:pPr>
            <w:r>
              <w:t xml:space="preserve">Send test push; tap notification</w:t>
            </w:r>
          </w:p>
        </w:tc>
        <w:tc>
          <w:tcPr/>
          <w:p>
            <w:pPr>
              <w:pStyle w:val="Compact"/>
            </w:pPr>
            <w:r>
              <w:t xml:space="preserve">App opens; navigates toward indicated context</w:t>
            </w:r>
          </w:p>
        </w:tc>
        <w:tc>
          <w:tcPr/>
          <w:p>
            <w:pPr>
              <w:pStyle w:val="Compact"/>
            </w:pPr>
            <w:r>
              <w:t xml:space="preserve">FR-016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TC-FR-016-02</w:t>
            </w:r>
          </w:p>
        </w:tc>
        <w:tc>
          <w:tcPr/>
          <w:p>
            <w:pPr>
              <w:pStyle w:val="Compact"/>
            </w:pPr>
            <w:r>
              <w:t xml:space="preserve">Foreground vs background</w:t>
            </w:r>
          </w:p>
        </w:tc>
        <w:tc>
          <w:tcPr/>
          <w:p>
            <w:pPr>
              <w:pStyle w:val="Compact"/>
            </w:pPr>
            <w:r>
              <w:t xml:space="preserve">Receive message in each mode</w:t>
            </w:r>
          </w:p>
        </w:tc>
        <w:tc>
          <w:tcPr/>
          <w:p>
            <w:pPr>
              <w:pStyle w:val="Compact"/>
            </w:pPr>
            <w:r>
              <w:t xml:space="preserve">Local notification policy behaves without crash</w:t>
            </w:r>
          </w:p>
        </w:tc>
        <w:tc>
          <w:tcPr/>
          <w:p>
            <w:pPr>
              <w:pStyle w:val="Compact"/>
            </w:pPr>
            <w:r>
              <w:t xml:space="preserve">FR-016</w:t>
            </w:r>
          </w:p>
        </w:tc>
      </w:tr>
    </w:tbl>
    <w:bookmarkEnd w:id="29"/>
    <w:bookmarkStart w:id="30" w:name="privacy-ux-fr-017"/>
    <w:p>
      <w:pPr>
        <w:pStyle w:val="Heading3"/>
      </w:pPr>
      <w:r>
        <w:t xml:space="preserve">7.2.7 Privacy UX (FR-017)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692"/>
        <w:gridCol w:w="1108"/>
        <w:gridCol w:w="2692"/>
        <w:gridCol w:w="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TC-FR-017-01</w:t>
            </w:r>
          </w:p>
        </w:tc>
        <w:tc>
          <w:tcPr/>
          <w:p>
            <w:pPr>
              <w:pStyle w:val="Compact"/>
            </w:pPr>
            <w:r>
              <w:t xml:space="preserve">Chat surface visible</w:t>
            </w:r>
          </w:p>
        </w:tc>
        <w:tc>
          <w:tcPr/>
          <w:p>
            <w:pPr>
              <w:pStyle w:val="Compact"/>
            </w:pPr>
            <w:r>
              <w:t xml:space="preserve">View encryption banner/modal copy</w:t>
            </w:r>
          </w:p>
        </w:tc>
        <w:tc>
          <w:tcPr/>
          <w:p>
            <w:pPr>
              <w:pStyle w:val="Compact"/>
            </w:pPr>
            <w:r>
              <w:t xml:space="preserve">User-facing explanation present;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claim of custom student cryptography</w:t>
            </w:r>
          </w:p>
        </w:tc>
        <w:tc>
          <w:tcPr/>
          <w:p>
            <w:pPr>
              <w:pStyle w:val="Compact"/>
            </w:pPr>
            <w:r>
              <w:t xml:space="preserve">FR-017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non-functional-testing"/>
    <w:p>
      <w:pPr>
        <w:pStyle w:val="Heading2"/>
      </w:pPr>
      <w:r>
        <w:t xml:space="preserve">7.3 Non-functional testing</w:t>
      </w:r>
    </w:p>
    <w:p>
      <w:pPr>
        <w:pStyle w:val="FirstParagraph"/>
      </w:pPr>
      <w:r>
        <w:t xml:space="preserve">Non-functional verification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combine</w:t>
      </w:r>
      <w:r>
        <w:t xml:space="preserve"> </w:t>
      </w:r>
      <w:r>
        <w:rPr>
          <w:b/>
          <w:bCs/>
        </w:rPr>
        <w:t xml:space="preserve">inspection</w:t>
      </w:r>
      <w:r>
        <w:t xml:space="preserve">,</w:t>
      </w:r>
      <w:r>
        <w:t xml:space="preserve"> </w:t>
      </w:r>
      <w:r>
        <w:rPr>
          <w:b/>
          <w:bCs/>
        </w:rPr>
        <w:t xml:space="preserve">short operational checks</w:t>
      </w:r>
      <w:r>
        <w:t xml:space="preserve">, and</w:t>
      </w:r>
      <w:r>
        <w:t xml:space="preserve"> </w:t>
      </w:r>
      <w:r>
        <w:rPr>
          <w:b/>
          <w:bCs/>
        </w:rPr>
        <w:t xml:space="preserve">qualitative review</w:t>
      </w:r>
      <w:r>
        <w:t xml:space="preserve">, as summarised below. Outcomes</w:t>
      </w:r>
      <w:r>
        <w:t xml:space="preserve"> </w:t>
      </w:r>
      <w:r>
        <w:rPr>
          <w:b/>
          <w:bCs/>
        </w:rPr>
        <w:t xml:space="preserve">TBD</w:t>
      </w:r>
      <w:r>
        <w:t xml:space="preserve"> </w:t>
      </w:r>
      <w:r>
        <w:t xml:space="preserve">until recorded.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Build and run on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iOS and Android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Operational / inspection</w:t>
            </w:r>
          </w:p>
        </w:tc>
        <w:tc>
          <w:tcPr/>
          <w:p>
            <w:pPr>
              <w:pStyle w:val="Compact"/>
            </w:pPr>
            <w:r>
              <w:t xml:space="preserve">Trigger render error in subtree if safe; observe error boundary; review global handler wiring in</w:t>
            </w:r>
            <w:r>
              <w:t xml:space="preserve"> </w:t>
            </w:r>
            <w:r>
              <w:rPr>
                <w:rStyle w:val="VerbatimChar"/>
              </w:rPr>
              <w:t xml:space="preserve">index.js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Review modular folders; note</w:t>
            </w:r>
            <w:r>
              <w:t xml:space="preserve"> </w:t>
            </w:r>
            <w:r>
              <w:rPr>
                <w:rStyle w:val="VerbatimChar"/>
              </w:rPr>
              <w:t xml:space="preserve">patch-package</w:t>
            </w:r>
            <w:r>
              <w:t xml:space="preserve"> </w:t>
            </w:r>
            <w:r>
              <w:t xml:space="preserve">entries and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Functional overlap</w:t>
            </w:r>
          </w:p>
        </w:tc>
        <w:tc>
          <w:tcPr/>
          <w:p>
            <w:pPr>
              <w:pStyle w:val="Compact"/>
            </w:pPr>
            <w:r>
              <w:t xml:space="preserve">Change persisted builder settings; confirm UI reflects without full native rebuild where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Review storage of credentials/tokens (no secrets in report); document prototype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Functional overlap</w:t>
            </w:r>
          </w:p>
        </w:tc>
        <w:tc>
          <w:tcPr/>
          <w:p>
            <w:pPr>
              <w:pStyle w:val="Compact"/>
            </w:pPr>
            <w:r>
              <w:t xml:space="preserve">Toggle light/dark if applicable; verify theme tokens in chat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Confirm CometChat i18n provider usage; note language of custom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NFR-008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versions with thesis declaration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Verify permissions/background modes in Expo config match features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NFR-010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Confirm diagnostics are console-oriented; no APM claimed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NFR-011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Document reliance on CometChat/Firebase;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fake first-party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NFR-012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State absence of automated suite as primary evidence; modular structure noted for future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evaluation-against-requirements"/>
    <w:p>
      <w:pPr>
        <w:pStyle w:val="Heading2"/>
      </w:pPr>
      <w:r>
        <w:t xml:space="preserve">7.4 Evaluation against requirements</w:t>
      </w:r>
    </w:p>
    <w:bookmarkStart w:id="33" w:name="summary-evaluation-matrix-functional"/>
    <w:p>
      <w:pPr>
        <w:pStyle w:val="Heading3"/>
      </w:pPr>
      <w:r>
        <w:t xml:space="preserve">7.4.1 Summary evaluation matrix (functional)</w:t>
      </w:r>
    </w:p>
    <w:p>
      <w:pPr>
        <w:pStyle w:val="FirstParagraph"/>
      </w:pPr>
      <w:r>
        <w:t xml:space="preserve">Each row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receive 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evidence pointer</w:t>
      </w:r>
      <w:r>
        <w:t xml:space="preserve"> </w:t>
      </w:r>
      <w:r>
        <w:t xml:space="preserve">(screenshot ID, short log excerpt, or file path) when evaluation completes.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Evaluation method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Evidence ref.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Functional (TC-FR-001-01)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Functional (TC-FR-002-01, TC-FR-002-02)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Functional (TC-FR-003-01)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Functional (TC-FR-004-01)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Functional (TC-FR-005-01)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Functional (TC-FR-006-01, TC-FR-006-02)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Functional (TC-FR-007-01)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Functional (TC-FR-008-01)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Functional (TC-FR-009-01)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Functional (TC-FR-010-01)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Functional (TC-FR-011-01)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Functional (TC-FR-012-01, TC-FR-012-02)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Functional (TC-FR-013-01, TC-FR-013-02)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Functional (TC-FR-014-01)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Functional (TC-FR-015-01)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Functional (TC-FR-016-01, TC-FR-016-02)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Functional (TC-FR-017-01)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bookmarkEnd w:id="33"/>
    <w:bookmarkStart w:id="34" w:name="summary-evaluation-matrix-non-functional"/>
    <w:p>
      <w:pPr>
        <w:pStyle w:val="Heading3"/>
      </w:pPr>
      <w:r>
        <w:t xml:space="preserve">7.4.2 Summary evaluation matrix (non-functional)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Evaluation method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Evidence ref.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NFR-008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NFR-010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NFR-011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NFR-012</w:t>
            </w:r>
          </w:p>
        </w:tc>
        <w:tc>
          <w:tcPr/>
          <w:p>
            <w:pPr>
              <w:pStyle w:val="Compact"/>
            </w:pPr>
            <w:r>
              <w:t xml:space="preserve">§7.3 checklist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bookmarkEnd w:id="34"/>
    <w:bookmarkStart w:id="35" w:name="demonstration-gate"/>
    <w:p>
      <w:pPr>
        <w:pStyle w:val="Heading3"/>
      </w:pPr>
      <w:r>
        <w:t xml:space="preserve">7.4.3 Demonstration gate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minimum demonstration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treat all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priority functional requirements and critical non-functional items (</w:t>
      </w:r>
      <w:r>
        <w:rPr>
          <w:b/>
          <w:bCs/>
        </w:rPr>
        <w:t xml:space="preserve">NFR-001</w:t>
      </w:r>
      <w:r>
        <w:t xml:space="preserve">,</w:t>
      </w:r>
      <w:r>
        <w:t xml:space="preserve"> </w:t>
      </w:r>
      <w:r>
        <w:rPr>
          <w:b/>
          <w:bCs/>
        </w:rPr>
        <w:t xml:space="preserve">NFR-005</w:t>
      </w:r>
      <w:r>
        <w:t xml:space="preserve">,</w:t>
      </w:r>
      <w:r>
        <w:t xml:space="preserve"> </w:t>
      </w:r>
      <w:r>
        <w:rPr>
          <w:b/>
          <w:bCs/>
        </w:rPr>
        <w:t xml:space="preserve">NFR-008</w:t>
      </w:r>
      <w:r>
        <w:t xml:space="preserve">,</w:t>
      </w:r>
      <w:r>
        <w:t xml:space="preserve"> </w:t>
      </w:r>
      <w:r>
        <w:rPr>
          <w:b/>
          <w:bCs/>
        </w:rPr>
        <w:t xml:space="preserve">NFR-009</w:t>
      </w:r>
      <w:r>
        <w:t xml:space="preserve">,</w:t>
      </w:r>
      <w:r>
        <w:t xml:space="preserve"> </w:t>
      </w:r>
      <w:r>
        <w:rPr>
          <w:b/>
          <w:bCs/>
        </w:rPr>
        <w:t xml:space="preserve">NFR-011</w:t>
      </w:r>
      <w:r>
        <w:t xml:space="preserve">) as</w:t>
      </w:r>
      <w:r>
        <w:t xml:space="preserve"> </w:t>
      </w:r>
      <w:r>
        <w:rPr>
          <w:b/>
          <w:bCs/>
        </w:rPr>
        <w:t xml:space="preserve">must-verify</w:t>
      </w:r>
      <w:r>
        <w:t xml:space="preserve"> </w:t>
      </w:r>
      <w:r>
        <w:t xml:space="preserve">before claiming overall satisfaction, subject to supervisor guidance.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findings-and-results"/>
    <w:p>
      <w:pPr>
        <w:pStyle w:val="Heading2"/>
      </w:pPr>
      <w:r>
        <w:t xml:space="preserve">7.5 Findings and results</w:t>
      </w:r>
    </w:p>
    <w:bookmarkStart w:id="37" w:name="planned-reporting-structure"/>
    <w:p>
      <w:pPr>
        <w:pStyle w:val="Heading3"/>
      </w:pPr>
      <w:r>
        <w:t xml:space="preserve">7.5.1 Planned reporting structure</w:t>
      </w:r>
    </w:p>
    <w:p>
      <w:pPr>
        <w:pStyle w:val="FirstParagraph"/>
      </w:pPr>
      <w:r>
        <w:t xml:space="preserve">When evaluation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executed, results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reported under the following headings: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Functional summary</w:t>
      </w:r>
      <w:r>
        <w:t xml:space="preserve"> </w:t>
      </w:r>
      <w:r>
        <w:t xml:space="preserve">— pass/fail counts by FR; notable defects with severity.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Non-functional summary</w:t>
      </w:r>
      <w:r>
        <w:t xml:space="preserve"> </w:t>
      </w:r>
      <w:r>
        <w:t xml:space="preserve">— inspection outcomes; platform-specific notes.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Requirements coverage</w:t>
      </w:r>
      <w:r>
        <w:t xml:space="preserve"> </w:t>
      </w:r>
      <w:r>
        <w:t xml:space="preserve">— reference §7.4 matrices with final outcomes replacing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Deviations</w:t>
      </w:r>
      <w:r>
        <w:t xml:space="preserve"> </w:t>
      </w:r>
      <w:r>
        <w:t xml:space="preserve">— requirements partially met or blocked by environment or vendor constraints.</w:t>
      </w:r>
    </w:p>
    <w:bookmarkEnd w:id="37"/>
    <w:bookmarkStart w:id="38" w:name="known-limitations-anticipated"/>
    <w:p>
      <w:pPr>
        <w:pStyle w:val="Heading3"/>
      </w:pPr>
      <w:r>
        <w:t xml:space="preserve">7.5.2 Known limitations (anticipated)</w:t>
      </w:r>
    </w:p>
    <w:p>
      <w:pPr>
        <w:pStyle w:val="FirstParagraph"/>
      </w:pPr>
      <w:r>
        <w:t xml:space="preserve">Findings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acknowledge dependence on</w:t>
      </w:r>
      <w:r>
        <w:t xml:space="preserve"> </w:t>
      </w:r>
      <w:r>
        <w:rPr>
          <w:b/>
          <w:bCs/>
        </w:rPr>
        <w:t xml:space="preserve">third-party</w:t>
      </w:r>
      <w:r>
        <w:t xml:space="preserve"> </w:t>
      </w:r>
      <w:r>
        <w:t xml:space="preserve">uptime and behaviour (</w:t>
      </w:r>
      <w:r>
        <w:rPr>
          <w:b/>
          <w:bCs/>
        </w:rPr>
        <w:t xml:space="preserve">NFR-011</w:t>
      </w:r>
      <w:r>
        <w:t xml:space="preserve">), variability in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delivery across devices, and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test coverage limits (</w:t>
      </w:r>
      <w:r>
        <w:rPr>
          <w:b/>
          <w:bCs/>
        </w:rPr>
        <w:t xml:space="preserve">NFR-012</w:t>
      </w:r>
      <w:r>
        <w:t xml:space="preserve">).</w:t>
      </w:r>
      <w:r>
        <w:t xml:space="preserve"> </w:t>
      </w:r>
      <w:r>
        <w:rPr>
          <w:b/>
          <w:bCs/>
        </w:rPr>
        <w:t xml:space="preserve">FR-017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reported as</w:t>
      </w:r>
      <w:r>
        <w:t xml:space="preserve"> </w:t>
      </w:r>
      <w:r>
        <w:rPr>
          <w:b/>
          <w:bCs/>
        </w:rPr>
        <w:t xml:space="preserve">UX compliance</w:t>
      </w:r>
      <w:r>
        <w:t xml:space="preserve">, not cryptographic assurance.</w:t>
      </w:r>
    </w:p>
    <w:bookmarkEnd w:id="38"/>
    <w:bookmarkStart w:id="39" w:name="threats-to-validity"/>
    <w:p>
      <w:pPr>
        <w:pStyle w:val="Heading3"/>
      </w:pPr>
      <w:r>
        <w:t xml:space="preserve">7.5.3 Threats to validity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Manual execution</w:t>
      </w:r>
      <w:r>
        <w:t xml:space="preserve"> </w:t>
      </w:r>
      <w:r>
        <w:t xml:space="preserve">may miss edge cases covered by automated regression in industry practice.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 and network</w:t>
      </w:r>
      <w:r>
        <w:t xml:space="preserve"> </w:t>
      </w:r>
      <w:r>
        <w:t xml:space="preserve">diversity may be limited for a student project.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Observer bias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mitigated by using predefined test cases and requirement IDs.</w:t>
      </w:r>
    </w:p>
    <w:p>
      <w:pPr>
        <w:pStyle w:val="FirstParagraph"/>
      </w:pPr>
      <w:r>
        <w:t xml:space="preserve">Interpretation of results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belong primarily to</w:t>
      </w:r>
      <w:r>
        <w:t xml:space="preserve"> </w:t>
      </w:r>
      <w:r>
        <w:rPr>
          <w:b/>
          <w:bCs/>
        </w:rPr>
        <w:t xml:space="preserve">Chapter 8 (Discussion)</w:t>
      </w:r>
      <w:r>
        <w:t xml:space="preserve">; this chapter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supply</w:t>
      </w:r>
      <w:r>
        <w:t xml:space="preserve"> </w:t>
      </w:r>
      <w:r>
        <w:rPr>
          <w:b/>
          <w:bCs/>
        </w:rPr>
        <w:t xml:space="preserve">factual</w:t>
      </w:r>
      <w:r>
        <w:t xml:space="preserve"> </w:t>
      </w:r>
      <w:r>
        <w:t xml:space="preserve">testing outcomes and structured matrices.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losing-alignment"/>
    <w:p>
      <w:pPr>
        <w:pStyle w:val="Heading2"/>
      </w:pPr>
      <w:r>
        <w:t xml:space="preserve">Closing alignment</w:t>
      </w:r>
    </w:p>
    <w:p>
      <w:pPr>
        <w:pStyle w:val="FirstParagraph"/>
      </w:pPr>
      <w:r>
        <w:t xml:space="preserve">Testing and evaluation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close the loop from Chapter 4’s requirement set through design and implementation to</w:t>
      </w:r>
      <w:r>
        <w:t xml:space="preserve"> </w:t>
      </w:r>
      <w:r>
        <w:rPr>
          <w:b/>
          <w:bCs/>
        </w:rPr>
        <w:t xml:space="preserve">evidence-backed</w:t>
      </w:r>
      <w:r>
        <w:t xml:space="preserve"> </w:t>
      </w:r>
      <w:r>
        <w:t xml:space="preserve">statements suitable for academic assessment, without overstating automation or security guarantees.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../../examples/SecureChatApp/" TargetMode="External" /><Relationship Type="http://schemas.openxmlformats.org/officeDocument/2006/relationships/hyperlink" Id="rId13" Target="../../functional/" TargetMode="External" /><Relationship Type="http://schemas.openxmlformats.org/officeDocument/2006/relationships/hyperlink" Id="rId14" Target="../../non-functional/" TargetMode="External" /><Relationship Type="http://schemas.openxmlformats.org/officeDocument/2006/relationships/hyperlink" Id="rId12" Target="../academic-requirements-analysis.md" TargetMode="External" /><Relationship Type="http://schemas.openxmlformats.org/officeDocument/2006/relationships/hyperlink" Id="rId10" Target="../design/academic-system-design.md" TargetMode="External" /><Relationship Type="http://schemas.openxmlformats.org/officeDocument/2006/relationships/hyperlink" Id="rId11" Target="../implementation/academic-implementation.md" TargetMode="External" /><Relationship Type="http://schemas.openxmlformats.org/officeDocument/2006/relationships/hyperlink" Id="rId9" Target="../requirements-tables.md" TargetMode="External" /><Relationship Type="http://schemas.openxmlformats.org/officeDocument/2006/relationships/hyperlink" Id="rId15" Target="academic-requirements-traceability-evalu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../../examples/SecureChatApp/" TargetMode="External" /><Relationship Type="http://schemas.openxmlformats.org/officeDocument/2006/relationships/hyperlink" Id="rId13" Target="../../functional/" TargetMode="External" /><Relationship Type="http://schemas.openxmlformats.org/officeDocument/2006/relationships/hyperlink" Id="rId14" Target="../../non-functional/" TargetMode="External" /><Relationship Type="http://schemas.openxmlformats.org/officeDocument/2006/relationships/hyperlink" Id="rId12" Target="../academic-requirements-analysis.md" TargetMode="External" /><Relationship Type="http://schemas.openxmlformats.org/officeDocument/2006/relationships/hyperlink" Id="rId10" Target="../design/academic-system-design.md" TargetMode="External" /><Relationship Type="http://schemas.openxmlformats.org/officeDocument/2006/relationships/hyperlink" Id="rId11" Target="../implementation/academic-implementation.md" TargetMode="External" /><Relationship Type="http://schemas.openxmlformats.org/officeDocument/2006/relationships/hyperlink" Id="rId9" Target="../requirements-tables.md" TargetMode="External" /><Relationship Type="http://schemas.openxmlformats.org/officeDocument/2006/relationships/hyperlink" Id="rId15" Target="academic-requirements-traceability-evalu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2026-04-14T08:20:06Z</dcterms:created>
  <dcterms:modified xsi:type="dcterms:W3CDTF">2026-04-14T08:20:06Z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