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iscussion"/>
    <w:p>
      <w:pPr>
        <w:pStyle w:val="Heading1"/>
      </w:pPr>
      <w:r>
        <w:t xml:space="preserve">Discussion</w:t>
      </w:r>
    </w:p>
    <w:bookmarkStart w:id="1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chapter</w:t>
      </w:r>
      <w:r>
        <w:t xml:space="preserve"> </w:t>
      </w:r>
      <w:r>
        <w:rPr>
          <w:b/>
          <w:bCs/>
        </w:rPr>
        <w:t xml:space="preserve">discusses</w:t>
      </w:r>
      <w:r>
        <w:t xml:space="preserve"> </w:t>
      </w:r>
      <w:r>
        <w:t xml:space="preserve">the Secure Chat Application in light of the requirements (Chapter 4,</w:t>
      </w:r>
      <w:r>
        <w:t xml:space="preserve"> </w:t>
      </w:r>
      <w:hyperlink r:id="rId9">
        <w:r>
          <w:rPr>
            <w:rStyle w:val="VerbatimChar"/>
          </w:rPr>
          <w:t xml:space="preserve">../requirements-tables.md</w:t>
        </w:r>
      </w:hyperlink>
      <w:r>
        <w:t xml:space="preserve">), the system design (Chapter 5,</w:t>
      </w:r>
      <w:r>
        <w:t xml:space="preserve"> </w:t>
      </w:r>
      <w:hyperlink r:id="rId10">
        <w:r>
          <w:rPr>
            <w:rStyle w:val="VerbatimChar"/>
          </w:rPr>
          <w:t xml:space="preserve">../design/academic-system-design.md</w:t>
        </w:r>
      </w:hyperlink>
      <w:r>
        <w:t xml:space="preserve">), the intended implementation (Chapter 6,</w:t>
      </w:r>
      <w:r>
        <w:t xml:space="preserve"> </w:t>
      </w:r>
      <w:hyperlink r:id="rId11">
        <w:r>
          <w:rPr>
            <w:rStyle w:val="VerbatimChar"/>
          </w:rPr>
          <w:t xml:space="preserve">../implementation/academic-implementation.md</w:t>
        </w:r>
      </w:hyperlink>
      <w:r>
        <w:t xml:space="preserve">), and testing and evaluation (Chapter 7,</w:t>
      </w:r>
      <w:r>
        <w:t xml:space="preserve"> </w:t>
      </w:r>
      <w:hyperlink r:id="rId12">
        <w:r>
          <w:rPr>
            <w:rStyle w:val="VerbatimChar"/>
          </w:rPr>
          <w:t xml:space="preserve">../evaluation/academic-testing-evaluation.md</w:t>
        </w:r>
      </w:hyperlink>
      <w:r>
        <w:t xml:space="preserve">). The reference artefact for implementation detail remains</w:t>
      </w:r>
      <w:r>
        <w:t xml:space="preserve"> </w:t>
      </w:r>
      <w:hyperlink r:id="rId13">
        <w:r>
          <w:rPr>
            <w:rStyle w:val="VerbatimChar"/>
          </w:rPr>
          <w:t xml:space="preserve">examples/SecureChatApp/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Convention while evaluation is incomplete:</w:t>
      </w:r>
      <w:r>
        <w:t xml:space="preserve"> </w:t>
      </w:r>
      <w:r>
        <w:t xml:space="preserve">Chapter 7 records</w:t>
      </w:r>
      <w:r>
        <w:t xml:space="preserve"> </w:t>
      </w:r>
      <w:r>
        <w:rPr>
          <w:b/>
          <w:bCs/>
        </w:rPr>
        <w:t xml:space="preserve">to be determined (TBD)</w:t>
      </w:r>
      <w:r>
        <w:t xml:space="preserve"> </w:t>
      </w:r>
      <w:r>
        <w:t xml:space="preserve">outcomes in its summary matrices. This chapter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invent pass/fail results.</w:t>
      </w:r>
      <w:r>
        <w:t xml:space="preserve"> </w:t>
      </w:r>
      <w:r>
        <w:rPr>
          <w:b/>
          <w:bCs/>
        </w:rPr>
        <w:t xml:space="preserve">§8.1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§8.2</w:t>
      </w:r>
      <w:r>
        <w:t xml:space="preserve"> </w:t>
      </w:r>
      <w:r>
        <w:t xml:space="preserve">therefore adopt</w:t>
      </w:r>
      <w:r>
        <w:t xml:space="preserve"> </w:t>
      </w:r>
      <w:r>
        <w:rPr>
          <w:b/>
          <w:bCs/>
        </w:rPr>
        <w:t xml:space="preserve">scaffolding</w:t>
      </w:r>
      <w:r>
        <w:t xml:space="preserve">: they state</w:t>
      </w:r>
      <w:r>
        <w:t xml:space="preserve"> </w:t>
      </w:r>
      <w:r>
        <w:rPr>
          <w:b/>
          <w:bCs/>
        </w:rPr>
        <w:t xml:space="preserve">questions</w:t>
      </w:r>
      <w:r>
        <w:t xml:space="preserve"> </w:t>
      </w:r>
      <w:r>
        <w:t xml:space="preserve">the discussion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answer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§7.4 and §7.5 are populated, and they identify</w:t>
      </w:r>
      <w:r>
        <w:t xml:space="preserve"> </w:t>
      </w:r>
      <w:r>
        <w:rPr>
          <w:b/>
          <w:bCs/>
        </w:rPr>
        <w:t xml:space="preserve">themes</w:t>
      </w:r>
      <w:r>
        <w:t xml:space="preserve"> </w:t>
      </w:r>
      <w:r>
        <w:t xml:space="preserve">(bootstrap, messaging, calls, notifications, privacy UX) that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structure the final interpretation.</w:t>
      </w:r>
      <w:r>
        <w:t xml:space="preserve"> </w:t>
      </w:r>
      <w:r>
        <w:rPr>
          <w:b/>
          <w:bCs/>
        </w:rPr>
        <w:t xml:space="preserve">§8.3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§8.4</w:t>
      </w:r>
      <w:r>
        <w:t xml:space="preserve"> </w:t>
      </w:r>
      <w:r>
        <w:t xml:space="preserve">address limitations and lessons that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follow from scope and methodology, independent of final test scores.</w:t>
      </w:r>
    </w:p>
    <w:p>
      <w:pPr>
        <w:pStyle w:val="BodyText"/>
      </w:pPr>
      <w:r>
        <w:t xml:space="preserve">Traceability from requirement themes to subsections appears in</w:t>
      </w:r>
      <w:r>
        <w:t xml:space="preserve"> </w:t>
      </w:r>
      <w:hyperlink r:id="rId14">
        <w:r>
          <w:rPr>
            <w:rStyle w:val="VerbatimChar"/>
          </w:rPr>
          <w:t xml:space="preserve">academic-requirements-traceability-discussion.md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20" w:name="interpretation-of-results"/>
    <w:p>
      <w:pPr>
        <w:pStyle w:val="Heading2"/>
      </w:pPr>
      <w:r>
        <w:t xml:space="preserve">8.1 Interpretation of results</w:t>
      </w:r>
    </w:p>
    <w:bookmarkStart w:id="16" w:name="inputs-and-boundaries"/>
    <w:p>
      <w:pPr>
        <w:pStyle w:val="Heading3"/>
      </w:pPr>
      <w:r>
        <w:t xml:space="preserve">8.1.1 Inputs and boundaries</w:t>
      </w:r>
    </w:p>
    <w:p>
      <w:pPr>
        <w:pStyle w:val="FirstParagraph"/>
      </w:pPr>
      <w:r>
        <w:t xml:space="preserve">The principal inputs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the evaluation summaries in Chapter 7 §7.4 (requirement-level outcomes) and §7.5 (findings, deviations, threats to validity). Interpretation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treat</w:t>
      </w:r>
      <w:r>
        <w:t xml:space="preserve"> </w:t>
      </w:r>
      <w:r>
        <w:rPr>
          <w:b/>
          <w:bCs/>
        </w:rPr>
        <w:t xml:space="preserve">success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satisfactory client-side integration</w:t>
      </w:r>
      <w:r>
        <w:t xml:space="preserve"> </w:t>
      </w:r>
      <w:r>
        <w:t xml:space="preserve">with CometChat and platform services, not as proof of correctness of vendor cloud internals (</w:t>
      </w:r>
      <w:r>
        <w:rPr>
          <w:b/>
          <w:bCs/>
        </w:rPr>
        <w:t xml:space="preserve">NFR-011</w:t>
      </w:r>
      <w:r>
        <w:t xml:space="preserve">). Claims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at the level of</w:t>
      </w:r>
      <w:r>
        <w:t xml:space="preserve"> </w:t>
      </w:r>
      <w:r>
        <w:rPr>
          <w:b/>
          <w:bCs/>
        </w:rPr>
        <w:t xml:space="preserve">observed behaviour</w:t>
      </w:r>
      <w:r>
        <w:t xml:space="preserve"> </w:t>
      </w:r>
      <w:r>
        <w:t xml:space="preserve">during manual runs and inspection.</w:t>
      </w:r>
    </w:p>
    <w:bookmarkEnd w:id="16"/>
    <w:bookmarkStart w:id="17" w:name="X3f38044ba065959bf000c762bd4f35cb3b4697c"/>
    <w:p>
      <w:pPr>
        <w:pStyle w:val="Heading3"/>
      </w:pPr>
      <w:r>
        <w:t xml:space="preserve">8.1.2 Questions the interpretation will answer (scaffolding)</w:t>
      </w:r>
    </w:p>
    <w:p>
      <w:pPr>
        <w:pStyle w:val="FirstParagraph"/>
      </w:pPr>
      <w:r>
        <w:t xml:space="preserve">Once results are recorded, the discussion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address, for each</w:t>
      </w:r>
      <w:r>
        <w:t xml:space="preserve"> </w:t>
      </w:r>
      <w:r>
        <w:rPr>
          <w:b/>
          <w:bCs/>
        </w:rPr>
        <w:t xml:space="preserve">theme</w:t>
      </w:r>
      <w:r>
        <w:t xml:space="preserve"> </w:t>
      </w:r>
      <w:r>
        <w:t xml:space="preserve">below, how outcomes align with</w:t>
      </w:r>
      <w:r>
        <w:t xml:space="preserve"> </w:t>
      </w:r>
      <w:r>
        <w:rPr>
          <w:b/>
          <w:bCs/>
        </w:rPr>
        <w:t xml:space="preserve">design use cases</w:t>
      </w:r>
      <w:r>
        <w:t xml:space="preserve"> </w:t>
      </w:r>
      <w:r>
        <w:t xml:space="preserve">UC-01–UC-12 (Chapter 5, §5.2) and with</w:t>
      </w:r>
      <w:r>
        <w:t xml:space="preserve"> </w:t>
      </w:r>
      <w:r>
        <w:rPr>
          <w:b/>
          <w:bCs/>
        </w:rPr>
        <w:t xml:space="preserve">test cases</w:t>
      </w:r>
      <w:r>
        <w:t xml:space="preserve"> </w:t>
      </w:r>
      <w:r>
        <w:t xml:space="preserve">TC-FR-* (Chapter 7, §7.2):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Bootstrap and credentials</w:t>
      </w:r>
      <w:r>
        <w:t xml:space="preserve"> </w:t>
      </w:r>
      <w:r>
        <w:t xml:space="preserve">— Did initialisation and credential lifecycle behave consistently with</w:t>
      </w:r>
      <w:r>
        <w:t xml:space="preserve"> </w:t>
      </w:r>
      <w:r>
        <w:rPr>
          <w:b/>
          <w:bCs/>
        </w:rPr>
        <w:t xml:space="preserve">FR-001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FR-002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— Did UID login meet</w:t>
      </w:r>
      <w:r>
        <w:t xml:space="preserve"> </w:t>
      </w:r>
      <w:r>
        <w:rPr>
          <w:b/>
          <w:bCs/>
        </w:rPr>
        <w:t xml:space="preserve">FR-003</w:t>
      </w:r>
      <w:r>
        <w:t xml:space="preserve"> </w:t>
      </w:r>
      <w:r>
        <w:t xml:space="preserve">and support navigation to the primary experience?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and navigation</w:t>
      </w:r>
      <w:r>
        <w:t xml:space="preserve"> </w:t>
      </w:r>
      <w:r>
        <w:t xml:space="preserve">— Did builder-driven tabs, stack routes, and deferred navigation satisfy</w:t>
      </w:r>
      <w:r>
        <w:t xml:space="preserve"> </w:t>
      </w:r>
      <w:r>
        <w:rPr>
          <w:b/>
          <w:bCs/>
        </w:rPr>
        <w:t xml:space="preserve">FR-004</w:t>
      </w:r>
      <w:r>
        <w:t xml:space="preserve">–</w:t>
      </w:r>
      <w:r>
        <w:rPr>
          <w:b/>
          <w:bCs/>
        </w:rPr>
        <w:t xml:space="preserve">FR-006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FR-016</w:t>
      </w:r>
      <w:r>
        <w:t xml:space="preserve"> </w:t>
      </w:r>
      <w:r>
        <w:t xml:space="preserve">where linked)?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Messaging</w:t>
      </w:r>
      <w:r>
        <w:t xml:space="preserve"> </w:t>
      </w:r>
      <w:r>
        <w:t xml:space="preserve">— Did conversations, threads, and search meet</w:t>
      </w:r>
      <w:r>
        <w:t xml:space="preserve"> </w:t>
      </w:r>
      <w:r>
        <w:rPr>
          <w:b/>
          <w:bCs/>
        </w:rPr>
        <w:t xml:space="preserve">FR-007</w:t>
      </w:r>
      <w:r>
        <w:t xml:space="preserve">–</w:t>
      </w:r>
      <w:r>
        <w:rPr>
          <w:b/>
          <w:bCs/>
        </w:rPr>
        <w:t xml:space="preserve">FR-009</w:t>
      </w:r>
      <w:r>
        <w:t xml:space="preserve">, noting</w:t>
      </w:r>
      <w:r>
        <w:t xml:space="preserve"> </w:t>
      </w:r>
      <w:r>
        <w:rPr>
          <w:b/>
          <w:bCs/>
        </w:rPr>
        <w:t xml:space="preserve">FR-008</w:t>
      </w:r>
      <w:r>
        <w:t xml:space="preserve">’s inferred confidence where relevant?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Users and groups</w:t>
      </w:r>
      <w:r>
        <w:t xml:space="preserve"> </w:t>
      </w:r>
      <w:r>
        <w:t xml:space="preserve">— Did directory and group administration flows meet</w:t>
      </w:r>
      <w:r>
        <w:t xml:space="preserve"> </w:t>
      </w:r>
      <w:r>
        <w:rPr>
          <w:b/>
          <w:bCs/>
        </w:rPr>
        <w:t xml:space="preserve">FR-010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FR-011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Calls</w:t>
      </w:r>
      <w:r>
        <w:t xml:space="preserve"> </w:t>
      </w:r>
      <w:r>
        <w:t xml:space="preserve">— Did history, incoming handling, and native presentation meet</w:t>
      </w:r>
      <w:r>
        <w:t xml:space="preserve"> </w:t>
      </w:r>
      <w:r>
        <w:rPr>
          <w:b/>
          <w:bCs/>
        </w:rPr>
        <w:t xml:space="preserve">FR-012</w:t>
      </w:r>
      <w:r>
        <w:t xml:space="preserve">–</w:t>
      </w:r>
      <w:r>
        <w:rPr>
          <w:b/>
          <w:bCs/>
        </w:rPr>
        <w:t xml:space="preserve">FR-014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Did token registration and payload-driven behaviour meet</w:t>
      </w:r>
      <w:r>
        <w:t xml:space="preserve"> </w:t>
      </w:r>
      <w:r>
        <w:rPr>
          <w:b/>
          <w:bCs/>
        </w:rPr>
        <w:t xml:space="preserve">FR-015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FR-016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UX</w:t>
      </w:r>
      <w:r>
        <w:t xml:space="preserve"> </w:t>
      </w:r>
      <w:r>
        <w:t xml:space="preserve">— Was</w:t>
      </w:r>
      <w:r>
        <w:t xml:space="preserve"> </w:t>
      </w:r>
      <w:r>
        <w:rPr>
          <w:b/>
          <w:bCs/>
        </w:rPr>
        <w:t xml:space="preserve">FR-017</w:t>
      </w:r>
      <w:r>
        <w:t xml:space="preserve"> </w:t>
      </w:r>
      <w:r>
        <w:t xml:space="preserve">satisfied as</w:t>
      </w:r>
      <w:r>
        <w:t xml:space="preserve"> </w:t>
      </w:r>
      <w:r>
        <w:rPr>
          <w:b/>
          <w:bCs/>
        </w:rPr>
        <w:t xml:space="preserve">user-facing explanation</w:t>
      </w:r>
      <w:r>
        <w:t xml:space="preserve"> </w:t>
      </w:r>
      <w:r>
        <w:t xml:space="preserve">without implying custom cryptography?</w:t>
      </w:r>
    </w:p>
    <w:bookmarkEnd w:id="17"/>
    <w:bookmarkStart w:id="18" w:name="interpreting-partial-or-failed-outcomes"/>
    <w:p>
      <w:pPr>
        <w:pStyle w:val="Heading3"/>
      </w:pPr>
      <w:r>
        <w:t xml:space="preserve">8.1.3 Interpreting partial or failed outcomes</w:t>
      </w:r>
    </w:p>
    <w:p>
      <w:pPr>
        <w:pStyle w:val="FirstParagraph"/>
      </w:pPr>
      <w:r>
        <w:t xml:space="preserve">Where outcomes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fail</w:t>
      </w:r>
      <w:r>
        <w:t xml:space="preserve">, interpretation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distinguish</w:t>
      </w:r>
      <w:r>
        <w:t xml:space="preserve"> </w:t>
      </w:r>
      <w:r>
        <w:rPr>
          <w:b/>
          <w:bCs/>
        </w:rPr>
        <w:t xml:space="preserve">defects in client integration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environmental limits</w:t>
      </w:r>
      <w:r>
        <w:t xml:space="preserve"> </w:t>
      </w:r>
      <w:r>
        <w:t xml:space="preserve">(network, test credentials, device-specific push behaviour) and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avoid overstating student responsibility for vendor outages.</w:t>
      </w:r>
    </w:p>
    <w:bookmarkEnd w:id="18"/>
    <w:bookmarkStart w:id="19" w:name="privacy-messaging-fr-017"/>
    <w:p>
      <w:pPr>
        <w:pStyle w:val="Heading3"/>
      </w:pPr>
      <w:r>
        <w:t xml:space="preserve">8.1.4 Privacy messaging (FR-017)</w:t>
      </w:r>
    </w:p>
    <w:p>
      <w:pPr>
        <w:pStyle w:val="FirstParagraph"/>
      </w:pPr>
      <w:r>
        <w:t xml:space="preserve">Discussion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consistently frame</w:t>
      </w:r>
      <w:r>
        <w:t xml:space="preserve"> </w:t>
      </w:r>
      <w:r>
        <w:rPr>
          <w:b/>
          <w:bCs/>
        </w:rPr>
        <w:t xml:space="preserve">FR-017</w:t>
      </w:r>
      <w:r>
        <w:t xml:space="preserve"> </w:t>
      </w:r>
      <w:r>
        <w:t xml:space="preserve">as compliance with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requirements about encryption and privacy, aligned with Chapter 4’s distinction from student-implemented end-to-end encryption.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comparison-with-project-objectives"/>
    <w:p>
      <w:pPr>
        <w:pStyle w:val="Heading2"/>
      </w:pPr>
      <w:r>
        <w:t xml:space="preserve">8.2 Comparison with project objectives</w:t>
      </w:r>
    </w:p>
    <w:bookmarkStart w:id="21" w:name="Xab3b0850b0ba95821b082264b92af101fc1e55e"/>
    <w:p>
      <w:pPr>
        <w:pStyle w:val="Heading3"/>
      </w:pPr>
      <w:r>
        <w:t xml:space="preserve">8.2.1 Objectives derived from requirements (placeholder for Chapter 1)</w:t>
      </w:r>
    </w:p>
    <w:p>
      <w:pPr>
        <w:pStyle w:val="FirstParagraph"/>
      </w:pPr>
      <w:r>
        <w:t xml:space="preserve">The formal</w:t>
      </w:r>
      <w:r>
        <w:t xml:space="preserve"> </w:t>
      </w:r>
      <w:r>
        <w:rPr>
          <w:b/>
          <w:bCs/>
        </w:rPr>
        <w:t xml:space="preserve">aim and objectives</w:t>
      </w:r>
      <w:r>
        <w:t xml:space="preserve"> </w:t>
      </w:r>
      <w:r>
        <w:t xml:space="preserve">of the thesis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appear in</w:t>
      </w:r>
      <w:r>
        <w:t xml:space="preserve"> </w:t>
      </w:r>
      <w:r>
        <w:rPr>
          <w:b/>
          <w:bCs/>
        </w:rPr>
        <w:t xml:space="preserve">Chapter 1</w:t>
      </w:r>
      <w:r>
        <w:t xml:space="preserve"> </w:t>
      </w:r>
      <w:r>
        <w:t xml:space="preserve">(Introduction). In their absence in this repository, the following</w:t>
      </w:r>
      <w:r>
        <w:t xml:space="preserve"> </w:t>
      </w:r>
      <w:r>
        <w:rPr>
          <w:b/>
          <w:bCs/>
        </w:rPr>
        <w:t xml:space="preserve">themes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serve as</w:t>
      </w:r>
      <w:r>
        <w:t xml:space="preserve"> </w:t>
      </w:r>
      <w:r>
        <w:rPr>
          <w:b/>
          <w:bCs/>
        </w:rPr>
        <w:t xml:space="preserve">stand-in objectives</w:t>
      </w:r>
      <w:r>
        <w:t xml:space="preserve"> </w:t>
      </w:r>
      <w:r>
        <w:t xml:space="preserve">traceable to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items in</w:t>
      </w:r>
      <w:r>
        <w:t xml:space="preserve"> </w:t>
      </w:r>
      <w:hyperlink r:id="rId9">
        <w:r>
          <w:rPr>
            <w:rStyle w:val="VerbatimChar"/>
          </w:rPr>
          <w:t xml:space="preserve">../requirements-tables.md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Thematic objective</w:t>
            </w:r>
          </w:p>
        </w:tc>
        <w:tc>
          <w:tcPr/>
          <w:p>
            <w:pPr>
              <w:pStyle w:val="Compact"/>
            </w:pPr>
            <w:r>
              <w:t xml:space="preserve">Representative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 a cross-platform secure chat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NFR-001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FR-006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real-time</w:t>
            </w:r>
            <w:r>
              <w:t xml:space="preserve"> </w:t>
            </w:r>
            <w:r>
              <w:rPr>
                <w:b/>
                <w:bCs/>
              </w:rPr>
              <w:t xml:space="preserve">messaging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group</w:t>
            </w:r>
            <w:r>
              <w:t xml:space="preserve"> </w:t>
            </w: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FR-007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  <w:r>
              <w:t xml:space="preserve"> </w:t>
            </w:r>
            <w:r>
              <w:rPr>
                <w:b/>
                <w:bCs/>
              </w:rPr>
              <w:t xml:space="preserve">voice/video</w:t>
            </w:r>
            <w:r>
              <w:t xml:space="preserve"> </w:t>
            </w:r>
            <w:r>
              <w:t xml:space="preserve">calling with acceptable native behaviour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FR-012</w:t>
            </w:r>
            <w:r>
              <w:t xml:space="preserve">–</w:t>
            </w:r>
            <w:r>
              <w:rPr>
                <w:b/>
                <w:bCs/>
              </w:rPr>
              <w:t xml:space="preserve">FR-014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</w:t>
            </w:r>
            <w:r>
              <w:t xml:space="preserve"> </w:t>
            </w:r>
            <w:r>
              <w:rPr>
                <w:b/>
                <w:bCs/>
              </w:rPr>
              <w:t xml:space="preserve">push</w:t>
            </w:r>
            <w:r>
              <w:t xml:space="preserve"> </w:t>
            </w:r>
            <w:r>
              <w:t xml:space="preserve">notifications and</w:t>
            </w:r>
            <w:r>
              <w:t xml:space="preserve"> </w:t>
            </w:r>
            <w:r>
              <w:rPr>
                <w:b/>
                <w:bCs/>
              </w:rPr>
              <w:t xml:space="preserve">deep</w:t>
            </w:r>
            <w:r>
              <w:t xml:space="preserve"> </w:t>
            </w: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FR-015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FR-016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understandable</w:t>
            </w:r>
            <w:r>
              <w:t xml:space="preserve"> </w:t>
            </w:r>
            <w:r>
              <w:rPr>
                <w:b/>
                <w:bCs/>
              </w:rPr>
              <w:t xml:space="preserve">privacy/encryption</w:t>
            </w:r>
            <w:r>
              <w:t xml:space="preserve"> </w:t>
            </w:r>
            <w:r>
              <w:t xml:space="preserve">messaging in-app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</w:t>
            </w:r>
            <w:r>
              <w:t xml:space="preserve"> </w:t>
            </w:r>
            <w:r>
              <w:rPr>
                <w:b/>
                <w:bCs/>
              </w:rPr>
              <w:t xml:space="preserve">client-boundary</w:t>
            </w:r>
            <w:r>
              <w:t xml:space="preserve"> </w:t>
            </w:r>
            <w:r>
              <w:t xml:space="preserve">security and reproducible</w:t>
            </w:r>
            <w:r>
              <w:t xml:space="preserve"> </w:t>
            </w: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NFR-005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NFR-008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NFR-009</w:t>
            </w:r>
          </w:p>
        </w:tc>
      </w:tr>
    </w:tbl>
    <w:bookmarkEnd w:id="21"/>
    <w:bookmarkStart w:id="22" w:name="X8d4d3a9e28521d17cee42cd98d0634ff29c333e"/>
    <w:p>
      <w:pPr>
        <w:pStyle w:val="Heading3"/>
      </w:pPr>
      <w:r>
        <w:t xml:space="preserve">8.2.2 Mapping objectives to evaluation (scaffolding)</w:t>
      </w:r>
    </w:p>
    <w:p>
      <w:pPr>
        <w:pStyle w:val="FirstParagraph"/>
      </w:pPr>
      <w:r>
        <w:t xml:space="preserve">Once Chapter 7 is complete, this subsection</w:t>
      </w:r>
      <w:r>
        <w:t xml:space="preserve"> </w:t>
      </w:r>
      <w:r>
        <w:rPr>
          <w:b/>
          <w:bCs/>
        </w:rPr>
        <w:t xml:space="preserve">will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State which thematic objectives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judged</w:t>
      </w:r>
      <w:r>
        <w:t xml:space="preserve"> </w:t>
      </w:r>
      <w:r>
        <w:rPr>
          <w:b/>
          <w:bCs/>
        </w:rPr>
        <w:t xml:space="preserve">met</w:t>
      </w:r>
      <w:r>
        <w:t xml:space="preserve">,</w:t>
      </w:r>
      <w:r>
        <w:t xml:space="preserve"> </w:t>
      </w:r>
      <w:r>
        <w:rPr>
          <w:b/>
          <w:bCs/>
        </w:rPr>
        <w:t xml:space="preserve">partially met</w:t>
      </w:r>
      <w:r>
        <w:t xml:space="preserve">, or</w:t>
      </w:r>
      <w:r>
        <w:t xml:space="preserve"> </w:t>
      </w:r>
      <w:r>
        <w:rPr>
          <w:b/>
          <w:bCs/>
        </w:rPr>
        <w:t xml:space="preserve">not met</w:t>
      </w:r>
      <w:r>
        <w:t xml:space="preserve">, using §7.4 matrices as evidence.</w:t>
      </w:r>
    </w:p>
    <w:p>
      <w:pPr>
        <w:pStyle w:val="Compact"/>
        <w:numPr>
          <w:ilvl w:val="0"/>
          <w:numId w:val="1002"/>
        </w:numPr>
      </w:pPr>
      <w:r>
        <w:t xml:space="preserve">Relate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FRs/NFRs to demonstration readiness, consistent with Chapter 7 §7.4.3.</w:t>
      </w:r>
    </w:p>
    <w:p>
      <w:pPr>
        <w:pStyle w:val="Compact"/>
        <w:numPr>
          <w:ilvl w:val="0"/>
          <w:numId w:val="1002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gaps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feed</w:t>
      </w:r>
      <w:r>
        <w:t xml:space="preserve"> </w:t>
      </w:r>
      <w:r>
        <w:rPr>
          <w:b/>
          <w:bCs/>
        </w:rPr>
        <w:t xml:space="preserve">§8.3</w:t>
      </w:r>
      <w:r>
        <w:t xml:space="preserve"> </w:t>
      </w:r>
      <w:r>
        <w:t xml:space="preserve">(limitations).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imitations-of-the-final-system"/>
    <w:p>
      <w:pPr>
        <w:pStyle w:val="Heading2"/>
      </w:pPr>
      <w:r>
        <w:t xml:space="preserve">8.3 Limitations of the final system</w:t>
      </w:r>
    </w:p>
    <w:bookmarkStart w:id="24" w:name="architectural-and-technical-limitations"/>
    <w:p>
      <w:pPr>
        <w:pStyle w:val="Heading3"/>
      </w:pPr>
      <w:r>
        <w:t xml:space="preserve">8.3.1 Architectural and technical limitations</w:t>
      </w:r>
    </w:p>
    <w:p>
      <w:pPr>
        <w:pStyle w:val="FirstParagraph"/>
      </w:pPr>
      <w:r>
        <w:t xml:space="preserve">The system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</w:t>
      </w:r>
      <w:r>
        <w:t xml:space="preserve"> </w:t>
      </w:r>
      <w:r>
        <w:rPr>
          <w:b/>
          <w:bCs/>
        </w:rPr>
        <w:t xml:space="preserve">thin client</w:t>
      </w:r>
      <w:r>
        <w:t xml:space="preserve">: chat and call semantics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depend on</w:t>
      </w:r>
      <w:r>
        <w:t xml:space="preserve"> </w:t>
      </w:r>
      <w:r>
        <w:rPr>
          <w:b/>
          <w:bCs/>
        </w:rPr>
        <w:t xml:space="preserve">CometChat</w:t>
      </w:r>
      <w:r>
        <w:t xml:space="preserve"> </w:t>
      </w:r>
      <w:r>
        <w:t xml:space="preserve">cloud services; push delivery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depend on</w:t>
      </w:r>
      <w:r>
        <w:t xml:space="preserve"> </w:t>
      </w:r>
      <w:r>
        <w:rPr>
          <w:b/>
          <w:bCs/>
        </w:rPr>
        <w:t xml:space="preserve">Firebase</w:t>
      </w:r>
      <w:r>
        <w:t xml:space="preserve"> </w:t>
      </w:r>
      <w:r>
        <w:t xml:space="preserve">and platform providers (</w:t>
      </w:r>
      <w:r>
        <w:rPr>
          <w:b/>
          <w:bCs/>
        </w:rPr>
        <w:t xml:space="preserve">NFR-011</w:t>
      </w:r>
      <w:r>
        <w:t xml:space="preserve">). The project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include a student-built application server whose behaviour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evaluated as part of this thesis.</w:t>
      </w:r>
    </w:p>
    <w:p>
      <w:pPr>
        <w:pStyle w:val="BodyText"/>
      </w:pPr>
      <w:r>
        <w:rPr>
          <w:b/>
          <w:bCs/>
        </w:rPr>
        <w:t xml:space="preserve">Credential and token storage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a</w:t>
      </w:r>
      <w:r>
        <w:t xml:space="preserve"> </w:t>
      </w:r>
      <w:r>
        <w:rPr>
          <w:b/>
          <w:bCs/>
        </w:rPr>
        <w:t xml:space="preserve">prototype-appropriate</w:t>
      </w:r>
      <w:r>
        <w:t xml:space="preserve"> </w:t>
      </w:r>
      <w:r>
        <w:t xml:space="preserve">posture suitable for demonstration, not production hardening (</w:t>
      </w:r>
      <w:r>
        <w:rPr>
          <w:b/>
          <w:bCs/>
        </w:rPr>
        <w:t xml:space="preserve">NFR-005</w:t>
      </w:r>
      <w:r>
        <w:t xml:space="preserve">).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limited primarily to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diagnostics (</w:t>
      </w:r>
      <w:r>
        <w:rPr>
          <w:b/>
          <w:bCs/>
        </w:rPr>
        <w:t xml:space="preserve">NFR-010</w:t>
      </w:r>
      <w:r>
        <w:t xml:space="preserve">).</w:t>
      </w:r>
      <w:r>
        <w:t xml:space="preserve"> </w:t>
      </w:r>
      <w:r>
        <w:rPr>
          <w:b/>
          <w:bCs/>
        </w:rPr>
        <w:t xml:space="preserve">Automated regression testing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not form the primary evidence base (</w:t>
      </w:r>
      <w:r>
        <w:rPr>
          <w:b/>
          <w:bCs/>
        </w:rPr>
        <w:t xml:space="preserve">NFR-012</w:t>
      </w:r>
      <w:r>
        <w:t xml:space="preserve">).</w:t>
      </w:r>
    </w:p>
    <w:bookmarkEnd w:id="24"/>
    <w:bookmarkStart w:id="25" w:name="verification-limitations"/>
    <w:p>
      <w:pPr>
        <w:pStyle w:val="Heading3"/>
      </w:pPr>
      <w:r>
        <w:t xml:space="preserve">8.3.2 Verification limitations</w:t>
      </w:r>
    </w:p>
    <w:p>
      <w:pPr>
        <w:pStyle w:val="FirstParagraph"/>
      </w:pPr>
      <w:r>
        <w:t xml:space="preserve">Manual testing on a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set of devices and simulators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limit generalisation.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VoIP</w:t>
      </w:r>
      <w:r>
        <w:t xml:space="preserve"> </w:t>
      </w:r>
      <w:r>
        <w:t xml:space="preserve">behaviour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vary by OS version and manufacturer policy; findings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not extend to all deployment contexts. These limits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already have been flagged as threats to validity in Chapter 7 §7.5.3; Discussion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reinforce their implications for claims of robustness.</w:t>
      </w:r>
    </w:p>
    <w:bookmarkEnd w:id="25"/>
    <w:bookmarkStart w:id="26" w:name="scope-of-security-in-this-project"/>
    <w:p>
      <w:pPr>
        <w:pStyle w:val="Heading3"/>
      </w:pPr>
      <w:r>
        <w:t xml:space="preserve">8.3.3 Scope of “security” in this project</w:t>
      </w:r>
    </w:p>
    <w:p>
      <w:pPr>
        <w:pStyle w:val="FirstParagraph"/>
      </w:pPr>
      <w:r>
        <w:t xml:space="preserve">The application</w:t>
      </w:r>
      <w:r>
        <w:t xml:space="preserve"> </w:t>
      </w:r>
      <w:r>
        <w:rPr>
          <w:b/>
          <w:bCs/>
        </w:rPr>
        <w:t xml:space="preserve">will not</w:t>
      </w:r>
      <w:r>
        <w:t xml:space="preserve"> </w:t>
      </w:r>
      <w:r>
        <w:t xml:space="preserve">implement bespoke</w:t>
      </w:r>
      <w:r>
        <w:t xml:space="preserve"> </w:t>
      </w:r>
      <w:r>
        <w:rPr>
          <w:b/>
          <w:bCs/>
        </w:rPr>
        <w:t xml:space="preserve">end-to-end encryption</w:t>
      </w:r>
      <w:r>
        <w:t xml:space="preserve"> </w:t>
      </w:r>
      <w:r>
        <w:t xml:space="preserve">protocols;</w:t>
      </w:r>
      <w:r>
        <w:t xml:space="preserve"> </w:t>
      </w:r>
      <w:r>
        <w:rPr>
          <w:b/>
          <w:bCs/>
        </w:rPr>
        <w:t xml:space="preserve">FR-017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cover</w:t>
      </w:r>
      <w:r>
        <w:t xml:space="preserve"> </w:t>
      </w:r>
      <w:r>
        <w:rPr>
          <w:b/>
          <w:bCs/>
        </w:rPr>
        <w:t xml:space="preserve">UX disclosure</w:t>
      </w:r>
      <w:r>
        <w:t xml:space="preserve"> </w:t>
      </w:r>
      <w:r>
        <w:t xml:space="preserve">only. Academic claims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aligned with that boundary, consistent with Chapters 4–7.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lessons-learned"/>
    <w:p>
      <w:pPr>
        <w:pStyle w:val="Heading2"/>
      </w:pPr>
      <w:r>
        <w:t xml:space="preserve">8.4 Lessons learned</w:t>
      </w:r>
    </w:p>
    <w:bookmarkStart w:id="28" w:name="process-lessons"/>
    <w:p>
      <w:pPr>
        <w:pStyle w:val="Heading3"/>
      </w:pPr>
      <w:r>
        <w:t xml:space="preserve">8.4.1 Process lessons</w:t>
      </w:r>
    </w:p>
    <w:p>
      <w:pPr>
        <w:pStyle w:val="FirstParagraph"/>
      </w:pPr>
      <w:r>
        <w:t xml:space="preserve">Structured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(</w:t>
      </w:r>
      <w:r>
        <w:rPr>
          <w:b/>
          <w:bCs/>
        </w:rPr>
        <w:t xml:space="preserve">FR/NFR</w:t>
      </w:r>
      <w:r>
        <w:t xml:space="preserve"> </w:t>
      </w:r>
      <w:r>
        <w:t xml:space="preserve">identifiers) and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matrices across design, implementation, and evaluation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support clearer thesis argumentation than ad hoc feature lists. Producing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before claiming implementation completeness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reduce ambiguity about module boundaries and vendor responsibilities.</w:t>
      </w:r>
    </w:p>
    <w:bookmarkEnd w:id="28"/>
    <w:bookmarkStart w:id="29" w:name="technical-lessons"/>
    <w:p>
      <w:pPr>
        <w:pStyle w:val="Heading3"/>
      </w:pPr>
      <w:r>
        <w:t xml:space="preserve">8.4.2 Technical lessons</w:t>
      </w:r>
    </w:p>
    <w:p>
      <w:pPr>
        <w:pStyle w:val="FirstParagraph"/>
      </w:pPr>
      <w:r>
        <w:t xml:space="preserve">Integration of</w:t>
      </w:r>
      <w:r>
        <w:t xml:space="preserve"> </w:t>
      </w:r>
      <w:r>
        <w:rPr>
          <w:b/>
          <w:bCs/>
        </w:rPr>
        <w:t xml:space="preserve">Expo</w:t>
      </w:r>
      <w:r>
        <w:t xml:space="preserve">,</w:t>
      </w:r>
      <w:r>
        <w:t xml:space="preserve"> </w:t>
      </w:r>
      <w:r>
        <w:rPr>
          <w:b/>
          <w:bCs/>
        </w:rPr>
        <w:t xml:space="preserve">native modules</w:t>
      </w:r>
      <w:r>
        <w:t xml:space="preserve"> </w:t>
      </w:r>
      <w:r>
        <w:t xml:space="preserve">(calls, push, VoIP), and</w:t>
      </w:r>
      <w:r>
        <w:t xml:space="preserve"> </w:t>
      </w:r>
      <w:r>
        <w:rPr>
          <w:b/>
          <w:bCs/>
        </w:rPr>
        <w:t xml:space="preserve">vendor SDKs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require ongoing</w:t>
      </w:r>
      <w:r>
        <w:t xml:space="preserve"> </w:t>
      </w:r>
      <w:r>
        <w:rPr>
          <w:b/>
          <w:bCs/>
        </w:rPr>
        <w:t xml:space="preserve">dependency alignment</w:t>
      </w:r>
      <w:r>
        <w:t xml:space="preserve"> </w:t>
      </w:r>
      <w:r>
        <w:t xml:space="preserve">and occasional</w:t>
      </w:r>
      <w:r>
        <w:t xml:space="preserve"> </w:t>
      </w:r>
      <w:r>
        <w:rPr>
          <w:b/>
          <w:bCs/>
        </w:rPr>
        <w:t xml:space="preserve">patch-package</w:t>
      </w:r>
      <w:r>
        <w:t xml:space="preserve"> </w:t>
      </w:r>
      <w:r>
        <w:t xml:space="preserve">maintenance (</w:t>
      </w:r>
      <w:r>
        <w:rPr>
          <w:b/>
          <w:bCs/>
        </w:rPr>
        <w:t xml:space="preserve">NFR-003</w:t>
      </w:r>
      <w:r>
        <w:t xml:space="preserve">).</w:t>
      </w:r>
      <w:r>
        <w:t xml:space="preserve"> </w:t>
      </w:r>
      <w:r>
        <w:rPr>
          <w:b/>
          <w:bCs/>
        </w:rPr>
        <w:t xml:space="preserve">Navigation readiness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deferred routing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matter for notification-driven entry (</w:t>
      </w:r>
      <w:r>
        <w:rPr>
          <w:b/>
          <w:bCs/>
        </w:rPr>
        <w:t xml:space="preserve">FR-016</w:t>
      </w:r>
      <w:r>
        <w:t xml:space="preserve">,</w:t>
      </w:r>
      <w:r>
        <w:t xml:space="preserve"> </w:t>
      </w:r>
      <w:r>
        <w:rPr>
          <w:b/>
          <w:bCs/>
        </w:rPr>
        <w:t xml:space="preserve">FR-006</w:t>
      </w:r>
      <w:r>
        <w:t xml:space="preserve">).</w:t>
      </w:r>
      <w:r>
        <w:t xml:space="preserve"> </w:t>
      </w:r>
      <w:r>
        <w:rPr>
          <w:b/>
          <w:bCs/>
        </w:rPr>
        <w:t xml:space="preserve">Platform differences</w:t>
      </w:r>
      <w:r>
        <w:t xml:space="preserve"> </w:t>
      </w:r>
      <w:r>
        <w:t xml:space="preserve">between iOS and Android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a recurring cost for notifications and calls.</w:t>
      </w:r>
    </w:p>
    <w:bookmarkEnd w:id="29"/>
    <w:bookmarkStart w:id="30" w:name="bridge-to-conclusion-chapter-9"/>
    <w:p>
      <w:pPr>
        <w:pStyle w:val="Heading3"/>
      </w:pPr>
      <w:r>
        <w:t xml:space="preserve">8.4.3 Bridge to conclusion (Chapter 9)</w:t>
      </w:r>
    </w:p>
    <w:p>
      <w:pPr>
        <w:pStyle w:val="FirstParagraph"/>
      </w:pPr>
      <w:r>
        <w:t xml:space="preserve">Chapter 9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consolidate</w:t>
      </w:r>
      <w:r>
        <w:t xml:space="preserve"> </w:t>
      </w:r>
      <w:r>
        <w:rPr>
          <w:b/>
          <w:bCs/>
        </w:rPr>
        <w:t xml:space="preserve">conclusions</w:t>
      </w:r>
      <w:r>
        <w:t xml:space="preserve">,</w:t>
      </w:r>
      <w:r>
        <w:t xml:space="preserve"> </w:t>
      </w:r>
      <w:r>
        <w:rPr>
          <w:b/>
          <w:bCs/>
        </w:rPr>
        <w:t xml:space="preserve">contributions</w:t>
      </w:r>
      <w:r>
        <w:t xml:space="preserve">, and</w:t>
      </w:r>
      <w:r>
        <w:t xml:space="preserve"> </w:t>
      </w:r>
      <w:r>
        <w:rPr>
          <w:b/>
          <w:bCs/>
        </w:rPr>
        <w:t xml:space="preserve">future enhancements</w:t>
      </w:r>
      <w:r>
        <w:t xml:space="preserve">; here it suffices to note that plausible extensions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include automated tests, stronger secret management, broader device coverage, and deeper observability—without duplicating Chapter 9’s full treatment.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losing-note"/>
    <w:p>
      <w:pPr>
        <w:pStyle w:val="Heading2"/>
      </w:pPr>
      <w:r>
        <w:t xml:space="preserve">Closing note</w:t>
      </w:r>
    </w:p>
    <w:p>
      <w:pPr>
        <w:pStyle w:val="FirstParagraph"/>
      </w:pPr>
      <w:r>
        <w:t xml:space="preserve">This Discussion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revised once Chapter 7 outcomes are finalised, replacing scaffolding in</w:t>
      </w:r>
      <w:r>
        <w:t xml:space="preserve"> </w:t>
      </w:r>
      <w:r>
        <w:rPr>
          <w:b/>
          <w:bCs/>
        </w:rPr>
        <w:t xml:space="preserve">§8.1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§8.2</w:t>
      </w:r>
      <w:r>
        <w:t xml:space="preserve"> </w:t>
      </w:r>
      <w:r>
        <w:t xml:space="preserve">with substantive interpretation while preserving the limitations and lessons that remain valid regardless of individual test passes.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../../examples/SecureChatApp/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2" Target="../evaluation/academic-testing-evaluatio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4" Target="academic-requirements-traceability-discus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../../examples/SecureChatApp/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2" Target="../evaluation/academic-testing-evaluatio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4" Target="academic-requirements-traceability-discus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