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onclusion-and-future-work"/>
    <w:p>
      <w:pPr>
        <w:pStyle w:val="Heading1"/>
      </w:pPr>
      <w:r>
        <w:t xml:space="preserve">Conclusion and Future Work</w:t>
      </w:r>
    </w:p>
    <w:bookmarkStart w:id="16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chapter</w:t>
      </w:r>
      <w:r>
        <w:t xml:space="preserve"> </w:t>
      </w:r>
      <w:r>
        <w:rPr>
          <w:b/>
          <w:bCs/>
        </w:rPr>
        <w:t xml:space="preserve">closes</w:t>
      </w:r>
      <w:r>
        <w:t xml:space="preserve"> </w:t>
      </w:r>
      <w:r>
        <w:t xml:space="preserve">the report by summarising the</w:t>
      </w:r>
      <w:r>
        <w:t xml:space="preserve"> </w:t>
      </w:r>
      <w:r>
        <w:rPr>
          <w:b/>
          <w:bCs/>
        </w:rPr>
        <w:t xml:space="preserve">Secure Chat Application</w:t>
      </w:r>
      <w:r>
        <w:t xml:space="preserve"> </w:t>
      </w:r>
      <w:r>
        <w:t xml:space="preserve">project in relation to its</w:t>
      </w:r>
      <w:r>
        <w:t xml:space="preserve"> </w:t>
      </w:r>
      <w:r>
        <w:rPr>
          <w:b/>
          <w:bCs/>
        </w:rPr>
        <w:t xml:space="preserve">requirements</w:t>
      </w:r>
      <w:r>
        <w:t xml:space="preserve"> </w:t>
      </w:r>
      <w:r>
        <w:t xml:space="preserve">(Chapter 4,</w:t>
      </w:r>
      <w:r>
        <w:t xml:space="preserve"> </w:t>
      </w:r>
      <w:hyperlink r:id="rId9">
        <w:r>
          <w:rPr>
            <w:rStyle w:val="VerbatimChar"/>
          </w:rPr>
          <w:t xml:space="preserve">../requirements-tables.md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design</w:t>
      </w:r>
      <w:r>
        <w:t xml:space="preserve"> </w:t>
      </w:r>
      <w:r>
        <w:t xml:space="preserve">(Chapter 5,</w:t>
      </w:r>
      <w:r>
        <w:t xml:space="preserve"> </w:t>
      </w:r>
      <w:hyperlink r:id="rId10">
        <w:r>
          <w:rPr>
            <w:rStyle w:val="VerbatimChar"/>
          </w:rPr>
          <w:t xml:space="preserve">../design/academic-system-design.md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 </w:t>
      </w:r>
      <w:r>
        <w:t xml:space="preserve">(Chapter 6,</w:t>
      </w:r>
      <w:r>
        <w:t xml:space="preserve"> </w:t>
      </w:r>
      <w:hyperlink r:id="rId11">
        <w:r>
          <w:rPr>
            <w:rStyle w:val="VerbatimChar"/>
          </w:rPr>
          <w:t xml:space="preserve">../implementation/academic-implementation.md</w:t>
        </w:r>
      </w:hyperlink>
      <w:r>
        <w:t xml:space="preserve">),</w:t>
      </w:r>
      <w:r>
        <w:t xml:space="preserve"> </w:t>
      </w:r>
      <w:r>
        <w:rPr>
          <w:b/>
          <w:bCs/>
        </w:rPr>
        <w:t xml:space="preserve">testing and evaluation</w:t>
      </w:r>
      <w:r>
        <w:t xml:space="preserve"> </w:t>
      </w:r>
      <w:r>
        <w:t xml:space="preserve">(Chapter 7,</w:t>
      </w:r>
      <w:r>
        <w:t xml:space="preserve"> </w:t>
      </w:r>
      <w:hyperlink r:id="rId12">
        <w:r>
          <w:rPr>
            <w:rStyle w:val="VerbatimChar"/>
          </w:rPr>
          <w:t xml:space="preserve">../evaluation/academic-testing-evaluation.md</w:t>
        </w:r>
      </w:hyperlink>
      <w:r>
        <w:t xml:space="preserve">), and</w:t>
      </w:r>
      <w:r>
        <w:t xml:space="preserve"> </w:t>
      </w:r>
      <w:r>
        <w:rPr>
          <w:b/>
          <w:bCs/>
        </w:rPr>
        <w:t xml:space="preserve">discussion</w:t>
      </w:r>
      <w:r>
        <w:t xml:space="preserve"> </w:t>
      </w:r>
      <w:r>
        <w:t xml:space="preserve">(Chapter 8,</w:t>
      </w:r>
      <w:r>
        <w:t xml:space="preserve"> </w:t>
      </w:r>
      <w:hyperlink r:id="rId13">
        <w:r>
          <w:rPr>
            <w:rStyle w:val="VerbatimChar"/>
          </w:rPr>
          <w:t xml:space="preserve">../discussion/academic-discussion.md</w:t>
        </w:r>
      </w:hyperlink>
      <w:r>
        <w:t xml:space="preserve">). The</w:t>
      </w:r>
      <w:r>
        <w:t xml:space="preserve"> </w:t>
      </w:r>
      <w:r>
        <w:rPr>
          <w:b/>
          <w:bCs/>
        </w:rPr>
        <w:t xml:space="preserve">deliverable software</w:t>
      </w:r>
      <w:r>
        <w:t xml:space="preserve"> </w:t>
      </w:r>
      <w:r>
        <w:t xml:space="preserve">is centred on</w:t>
      </w:r>
      <w:r>
        <w:t xml:space="preserve"> </w:t>
      </w:r>
      <w:hyperlink r:id="rId14">
        <w:r>
          <w:rPr>
            <w:rStyle w:val="VerbatimChar"/>
          </w:rPr>
          <w:t xml:space="preserve">examples/SecureChatApp/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Convention:</w:t>
      </w:r>
      <w:r>
        <w:t xml:space="preserve"> </w:t>
      </w:r>
      <w:r>
        <w:t xml:space="preserve">Final</w:t>
      </w:r>
      <w:r>
        <w:t xml:space="preserve"> </w:t>
      </w:r>
      <w:r>
        <w:rPr>
          <w:b/>
          <w:bCs/>
        </w:rPr>
        <w:t xml:space="preserve">requirement-level</w:t>
      </w:r>
      <w:r>
        <w:t xml:space="preserve"> </w:t>
      </w:r>
      <w:r>
        <w:t xml:space="preserve">verdicts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depend on Chapter 7 §7.4–§7.5. Where outcomes remain</w:t>
      </w:r>
      <w:r>
        <w:t xml:space="preserve"> </w:t>
      </w:r>
      <w:r>
        <w:rPr>
          <w:b/>
          <w:bCs/>
        </w:rPr>
        <w:t xml:space="preserve">to be determined (TBD)</w:t>
      </w:r>
      <w:r>
        <w:t xml:space="preserve">, this chapter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state</w:t>
      </w:r>
      <w:r>
        <w:t xml:space="preserve"> </w:t>
      </w:r>
      <w:r>
        <w:rPr>
          <w:b/>
          <w:bCs/>
        </w:rPr>
        <w:t xml:space="preserve">what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claimed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evidence is recorded, without fabricating pass rates or metrics.</w:t>
      </w:r>
    </w:p>
    <w:p>
      <w:pPr>
        <w:pStyle w:val="BodyText"/>
      </w:pPr>
      <w:r>
        <w:t xml:space="preserve">Traceability from requirement themes to subsections appears in</w:t>
      </w:r>
      <w:r>
        <w:t xml:space="preserve"> </w:t>
      </w:r>
      <w:hyperlink r:id="rId15">
        <w:r>
          <w:rPr>
            <w:rStyle w:val="VerbatimChar"/>
          </w:rPr>
          <w:t xml:space="preserve">academic-requirements-traceability-conclusion.md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conclusion"/>
    <w:p>
      <w:pPr>
        <w:pStyle w:val="Heading2"/>
      </w:pPr>
      <w:r>
        <w:t xml:space="preserve">9.1 Conclusion</w:t>
      </w:r>
    </w:p>
    <w:p>
      <w:pPr>
        <w:pStyle w:val="FirstParagraph"/>
      </w:pPr>
      <w:r>
        <w:t xml:space="preserve">The project</w:t>
      </w:r>
      <w:r>
        <w:t xml:space="preserve"> </w:t>
      </w:r>
      <w:r>
        <w:rPr>
          <w:b/>
          <w:bCs/>
        </w:rPr>
        <w:t xml:space="preserve">addresses</w:t>
      </w:r>
      <w:r>
        <w:t xml:space="preserve"> </w:t>
      </w:r>
      <w:r>
        <w:t xml:space="preserve">the need for a</w:t>
      </w:r>
      <w:r>
        <w:t xml:space="preserve"> </w:t>
      </w:r>
      <w:r>
        <w:rPr>
          <w:b/>
          <w:bCs/>
        </w:rPr>
        <w:t xml:space="preserve">cross-platform mobile client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integrates</w:t>
      </w:r>
      <w:r>
        <w:t xml:space="preserve"> </w:t>
      </w:r>
      <w:r>
        <w:t xml:space="preserve">third-party secure communications services (CometChat UIKit and SDK), platform</w:t>
      </w:r>
      <w:r>
        <w:t xml:space="preserve"> </w:t>
      </w:r>
      <w:r>
        <w:rPr>
          <w:b/>
          <w:bCs/>
        </w:rPr>
        <w:t xml:space="preserve">push</w:t>
      </w:r>
      <w:r>
        <w:t xml:space="preserve"> </w:t>
      </w:r>
      <w:r>
        <w:t xml:space="preserve">notifications, and</w:t>
      </w:r>
      <w:r>
        <w:t xml:space="preserve"> </w:t>
      </w:r>
      <w:r>
        <w:rPr>
          <w:b/>
          <w:bCs/>
        </w:rPr>
        <w:t xml:space="preserve">native-oriented</w:t>
      </w:r>
      <w:r>
        <w:t xml:space="preserve"> </w:t>
      </w:r>
      <w:r>
        <w:t xml:space="preserve">call presentation, within an undergraduate</w:t>
      </w:r>
      <w:r>
        <w:t xml:space="preserve"> </w:t>
      </w:r>
      <w:r>
        <w:rPr>
          <w:b/>
          <w:bCs/>
        </w:rPr>
        <w:t xml:space="preserve">scope</w:t>
      </w:r>
      <w:r>
        <w:t xml:space="preserve"> </w:t>
      </w:r>
      <w:r>
        <w:t xml:space="preserve">defined by</w:t>
      </w:r>
      <w:r>
        <w:t xml:space="preserve"> </w:t>
      </w:r>
      <w:r>
        <w:rPr>
          <w:b/>
          <w:bCs/>
        </w:rPr>
        <w:t xml:space="preserve">seventeen</w:t>
      </w:r>
      <w:r>
        <w:t xml:space="preserve"> </w:t>
      </w:r>
      <w:r>
        <w:t xml:space="preserve">functional requirements (</w:t>
      </w:r>
      <w:r>
        <w:rPr>
          <w:b/>
          <w:bCs/>
        </w:rPr>
        <w:t xml:space="preserve">FR-001–FR-017</w:t>
      </w:r>
      <w:r>
        <w:t xml:space="preserve">) and</w:t>
      </w:r>
      <w:r>
        <w:t xml:space="preserve"> </w:t>
      </w:r>
      <w:r>
        <w:rPr>
          <w:b/>
          <w:bCs/>
        </w:rPr>
        <w:t xml:space="preserve">twelve</w:t>
      </w:r>
      <w:r>
        <w:t xml:space="preserve"> </w:t>
      </w:r>
      <w:r>
        <w:t xml:space="preserve">non-functional requirements (</w:t>
      </w:r>
      <w:r>
        <w:rPr>
          <w:b/>
          <w:bCs/>
        </w:rPr>
        <w:t xml:space="preserve">NFR-001–NFR-012</w:t>
      </w:r>
      <w:r>
        <w:t xml:space="preserve">). Elicitation and analysis (Chapter 4)</w:t>
      </w:r>
      <w:r>
        <w:t xml:space="preserve"> </w:t>
      </w:r>
      <w:r>
        <w:rPr>
          <w:b/>
          <w:bCs/>
        </w:rPr>
        <w:t xml:space="preserve">established</w:t>
      </w:r>
      <w:r>
        <w:t xml:space="preserve"> </w:t>
      </w:r>
      <w:r>
        <w:t xml:space="preserve">stakeholder-led needs; system design (Chapter 5)</w:t>
      </w:r>
      <w:r>
        <w:t xml:space="preserve"> </w:t>
      </w:r>
      <w:r>
        <w:rPr>
          <w:b/>
          <w:bCs/>
        </w:rPr>
        <w:t xml:space="preserve">specified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thin client</w:t>
      </w:r>
      <w:r>
        <w:t xml:space="preserve"> </w:t>
      </w:r>
      <w:r>
        <w:t xml:space="preserve">architecture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a first-party chat server; implementation (Chapter 6)</w:t>
      </w:r>
      <w:r>
        <w:t xml:space="preserve"> </w:t>
      </w:r>
      <w:r>
        <w:rPr>
          <w:b/>
          <w:bCs/>
        </w:rPr>
        <w:t xml:space="preserve">described</w:t>
      </w:r>
      <w:r>
        <w:t xml:space="preserve"> </w:t>
      </w:r>
      <w:r>
        <w:t xml:space="preserve">how the reference codebase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realise that architecture in</w:t>
      </w:r>
      <w:r>
        <w:t xml:space="preserve"> </w:t>
      </w:r>
      <w:r>
        <w:rPr>
          <w:b/>
          <w:bCs/>
        </w:rPr>
        <w:t xml:space="preserve">Expo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React Native</w:t>
      </w:r>
      <w:r>
        <w:t xml:space="preserve">; evaluation (Chapter 7)</w:t>
      </w:r>
      <w:r>
        <w:t xml:space="preserve"> </w:t>
      </w:r>
      <w:r>
        <w:rPr>
          <w:b/>
          <w:bCs/>
        </w:rPr>
        <w:t xml:space="preserve">sets out</w:t>
      </w:r>
      <w:r>
        <w:t xml:space="preserve"> </w:t>
      </w:r>
      <w:r>
        <w:t xml:space="preserve">manual and inspection-based verification; discussion (Chapter 8)</w:t>
      </w:r>
      <w:r>
        <w:t xml:space="preserve"> </w:t>
      </w:r>
      <w:r>
        <w:rPr>
          <w:b/>
          <w:bCs/>
        </w:rPr>
        <w:t xml:space="preserve">frames</w:t>
      </w:r>
      <w:r>
        <w:t xml:space="preserve"> </w:t>
      </w:r>
      <w:r>
        <w:t xml:space="preserve">interpretation, limitations, and lessons.</w:t>
      </w:r>
    </w:p>
    <w:p>
      <w:pPr>
        <w:pStyle w:val="BodyText"/>
      </w:pPr>
      <w:r>
        <w:rPr>
          <w:b/>
          <w:bCs/>
        </w:rPr>
        <w:t xml:space="preserve">Conditional achievement:</w:t>
      </w:r>
      <w:r>
        <w:t xml:space="preserve"> </w:t>
      </w:r>
      <w:r>
        <w:t xml:space="preserve">The thesis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argue that the project</w:t>
      </w:r>
      <w:r>
        <w:t xml:space="preserve"> </w:t>
      </w:r>
      <w:r>
        <w:rPr>
          <w:b/>
          <w:bCs/>
        </w:rPr>
        <w:t xml:space="preserve">targets</w:t>
      </w:r>
      <w:r>
        <w:t xml:space="preserve"> </w:t>
      </w:r>
      <w:r>
        <w:t xml:space="preserve">satisfaction of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priority requirements—including core bootstrap, messaging, calls, notifications, and cross-platform delivery—subject to evidence recorded in Chapter 7 §7.4 and the demonstration considerations in §7.4.3.</w:t>
      </w:r>
      <w:r>
        <w:t xml:space="preserve"> </w:t>
      </w:r>
      <w:r>
        <w:rPr>
          <w:b/>
          <w:bCs/>
        </w:rPr>
        <w:t xml:space="preserve">Final</w:t>
      </w:r>
      <w:r>
        <w:t xml:space="preserve"> </w:t>
      </w:r>
      <w:r>
        <w:t xml:space="preserve">statements that requirements are</w:t>
      </w:r>
      <w:r>
        <w:t xml:space="preserve"> </w:t>
      </w:r>
      <w:r>
        <w:rPr>
          <w:b/>
          <w:bCs/>
        </w:rPr>
        <w:t xml:space="preserve">met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align with completed evaluation matrices, not with assumptions.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student contribution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understood as</w:t>
      </w:r>
      <w:r>
        <w:t xml:space="preserve"> </w:t>
      </w:r>
      <w:r>
        <w:rPr>
          <w:b/>
          <w:bCs/>
        </w:rPr>
        <w:t xml:space="preserve">engineering integration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traceable documentation</w:t>
      </w:r>
      <w:r>
        <w:t xml:space="preserve"> </w:t>
      </w:r>
      <w:r>
        <w:t xml:space="preserve">around vendor-mediated services (</w:t>
      </w:r>
      <w:r>
        <w:rPr>
          <w:b/>
          <w:bCs/>
        </w:rPr>
        <w:t xml:space="preserve">NFR-011</w:t>
      </w:r>
      <w:r>
        <w:t xml:space="preserve">), not as proof of correctness of CometChat’s cloud semantics.</w:t>
      </w:r>
      <w:r>
        <w:t xml:space="preserve"> </w:t>
      </w:r>
      <w:r>
        <w:rPr>
          <w:b/>
          <w:bCs/>
        </w:rPr>
        <w:t xml:space="preserve">FR-017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understood as</w:t>
      </w:r>
      <w:r>
        <w:t xml:space="preserve"> </w:t>
      </w:r>
      <w:r>
        <w:rPr>
          <w:b/>
          <w:bCs/>
        </w:rPr>
        <w:t xml:space="preserve">in-app</w:t>
      </w:r>
      <w:r>
        <w:t xml:space="preserve"> </w:t>
      </w:r>
      <w:r>
        <w:t xml:space="preserve">privacy and encryption</w:t>
      </w:r>
      <w:r>
        <w:t xml:space="preserve"> </w:t>
      </w:r>
      <w:r>
        <w:rPr>
          <w:b/>
          <w:bCs/>
        </w:rPr>
        <w:t xml:space="preserve">communication</w:t>
      </w:r>
      <w:r>
        <w:t xml:space="preserve">, consistent with Chapters 4 and 8,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as novel end-to-end cryptography implemented by the student.</w:t>
      </w:r>
    </w:p>
    <w:p>
      <w:r>
        <w:pict>
          <v:rect style="width:0;height:1.5pt" o:hralign="center" o:hrstd="t" o:hr="t"/>
        </w:pict>
      </w:r>
    </w:p>
    <w:bookmarkEnd w:id="17"/>
    <w:bookmarkStart w:id="21" w:name="contributions-of-the-project"/>
    <w:p>
      <w:pPr>
        <w:pStyle w:val="Heading2"/>
      </w:pPr>
      <w:r>
        <w:t xml:space="preserve">9.2 Contributions of the project</w:t>
      </w:r>
    </w:p>
    <w:bookmarkStart w:id="18" w:name="academic-and-documentation-contributions"/>
    <w:p>
      <w:pPr>
        <w:pStyle w:val="Heading3"/>
      </w:pPr>
      <w:r>
        <w:t xml:space="preserve">9.2.1 Academic and documentation contributions</w:t>
      </w:r>
    </w:p>
    <w:p>
      <w:pPr>
        <w:pStyle w:val="FirstParagraph"/>
      </w:pPr>
      <w:r>
        <w:t xml:space="preserve">The work</w:t>
      </w:r>
      <w:r>
        <w:t xml:space="preserve"> </w:t>
      </w:r>
      <w:r>
        <w:rPr>
          <w:b/>
          <w:bCs/>
        </w:rPr>
        <w:t xml:space="preserve">contributes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coherent requirements package</w:t>
      </w:r>
      <w:r>
        <w:t xml:space="preserve"> </w:t>
      </w:r>
      <w:r>
        <w:t xml:space="preserve">with identifiers traceable through design, implementation, evaluation, and discussion chapters, suitable for</w:t>
      </w:r>
      <w:r>
        <w:t xml:space="preserve"> </w:t>
      </w:r>
      <w:r>
        <w:rPr>
          <w:b/>
          <w:bCs/>
        </w:rPr>
        <w:t xml:space="preserve">final-year</w:t>
      </w:r>
      <w:r>
        <w:t xml:space="preserve"> </w:t>
      </w:r>
      <w:r>
        <w:t xml:space="preserve">reporting. The repository</w:t>
      </w:r>
      <w:r>
        <w:t xml:space="preserve"> </w:t>
      </w:r>
      <w:r>
        <w:rPr>
          <w:b/>
          <w:bCs/>
        </w:rPr>
        <w:t xml:space="preserve">supports</w:t>
      </w:r>
      <w:r>
        <w:t xml:space="preserve"> </w:t>
      </w:r>
      <w:r>
        <w:t xml:space="preserve">appendix-style export of requirement tables (Appendix 11.1) and evidence-oriented referencing (Appendix 11.3).</w:t>
      </w:r>
    </w:p>
    <w:bookmarkEnd w:id="18"/>
    <w:bookmarkStart w:id="19" w:name="practical-engineering-contributions"/>
    <w:p>
      <w:pPr>
        <w:pStyle w:val="Heading3"/>
      </w:pPr>
      <w:r>
        <w:t xml:space="preserve">9.2.2 Practical engineering contributions</w:t>
      </w:r>
    </w:p>
    <w:p>
      <w:pPr>
        <w:pStyle w:val="FirstParagraph"/>
      </w:pPr>
      <w:r>
        <w:t xml:space="preserve">The reference path</w:t>
      </w:r>
      <w:r>
        <w:t xml:space="preserve"> </w:t>
      </w:r>
      <w:hyperlink r:id="rId14">
        <w:r>
          <w:rPr>
            <w:rStyle w:val="VerbatimChar"/>
          </w:rPr>
          <w:t xml:space="preserve">examples/SecureChatApp/</w:t>
        </w:r>
      </w:hyperlink>
      <w:r>
        <w:t xml:space="preserve"> </w:t>
      </w:r>
      <w:r>
        <w:rPr>
          <w:b/>
          <w:bCs/>
        </w:rPr>
        <w:t xml:space="preserve">embodies</w:t>
      </w:r>
      <w:r>
        <w:t xml:space="preserve"> </w:t>
      </w:r>
      <w:r>
        <w:t xml:space="preserve">an intended</w:t>
      </w:r>
      <w:r>
        <w:t xml:space="preserve"> </w:t>
      </w:r>
      <w:r>
        <w:rPr>
          <w:b/>
          <w:bCs/>
        </w:rPr>
        <w:t xml:space="preserve">integration</w:t>
      </w:r>
      <w:r>
        <w:t xml:space="preserve"> </w:t>
      </w:r>
      <w:r>
        <w:t xml:space="preserve">of CometChat UIKit, calls, Firebase messaging, and platform-specific notification and call hooks within a</w:t>
      </w:r>
      <w:r>
        <w:t xml:space="preserve"> </w:t>
      </w:r>
      <w:r>
        <w:rPr>
          <w:b/>
          <w:bCs/>
        </w:rPr>
        <w:t xml:space="preserve">single</w:t>
      </w:r>
      <w:r>
        <w:t xml:space="preserve"> </w:t>
      </w:r>
      <w:r>
        <w:t xml:space="preserve">client codebase. The contribution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framed as</w:t>
      </w:r>
      <w:r>
        <w:t xml:space="preserve"> </w:t>
      </w:r>
      <w:r>
        <w:rPr>
          <w:b/>
          <w:bCs/>
        </w:rPr>
        <w:t xml:space="preserve">demonstrable client behaviour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maintainable module structure</w:t>
      </w:r>
      <w:r>
        <w:t xml:space="preserve"> </w:t>
      </w:r>
      <w:r>
        <w:t xml:space="preserve">(navigation, configuration store, feature folders, utilities), not as a replacement for vendor backends.</w:t>
      </w:r>
    </w:p>
    <w:bookmarkEnd w:id="19"/>
    <w:bookmarkStart w:id="20" w:name="explicit-non-contributions"/>
    <w:p>
      <w:pPr>
        <w:pStyle w:val="Heading3"/>
      </w:pPr>
      <w:r>
        <w:t xml:space="preserve">9.2.3 Explicit non-contributions</w:t>
      </w:r>
    </w:p>
    <w:p>
      <w:pPr>
        <w:pStyle w:val="FirstParagraph"/>
      </w:pPr>
      <w:r>
        <w:t xml:space="preserve">The project</w:t>
      </w:r>
      <w:r>
        <w:t xml:space="preserve"> </w:t>
      </w:r>
      <w:r>
        <w:rPr>
          <w:b/>
          <w:bCs/>
        </w:rPr>
        <w:t xml:space="preserve">does not</w:t>
      </w:r>
      <w:r>
        <w:t xml:space="preserve"> </w:t>
      </w:r>
      <w:r>
        <w:t xml:space="preserve">claim a</w:t>
      </w:r>
      <w:r>
        <w:t xml:space="preserve"> </w:t>
      </w:r>
      <w:r>
        <w:rPr>
          <w:b/>
          <w:bCs/>
        </w:rPr>
        <w:t xml:space="preserve">custom</w:t>
      </w:r>
      <w:r>
        <w:t xml:space="preserve"> </w:t>
      </w:r>
      <w:r>
        <w:t xml:space="preserve">application server,</w:t>
      </w:r>
      <w:r>
        <w:t xml:space="preserve"> </w:t>
      </w:r>
      <w:r>
        <w:rPr>
          <w:b/>
          <w:bCs/>
        </w:rPr>
        <w:t xml:space="preserve">formal verification</w:t>
      </w:r>
      <w:r>
        <w:t xml:space="preserve"> </w:t>
      </w:r>
      <w:r>
        <w:t xml:space="preserve">of vendor protocols, or</w:t>
      </w:r>
      <w:r>
        <w:t xml:space="preserve"> </w:t>
      </w:r>
      <w:r>
        <w:rPr>
          <w:b/>
          <w:bCs/>
        </w:rPr>
        <w:t xml:space="preserve">student-authored</w:t>
      </w:r>
      <w:r>
        <w:t xml:space="preserve"> </w:t>
      </w:r>
      <w:r>
        <w:t xml:space="preserve">end-to-end encryption. Those boundaries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remain explicit in assessment and in any future commercial reading of the thesis.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recommendations"/>
    <w:p>
      <w:pPr>
        <w:pStyle w:val="Heading2"/>
      </w:pPr>
      <w:r>
        <w:t xml:space="preserve">9.3 Recommendations</w:t>
      </w:r>
    </w:p>
    <w:p>
      <w:pPr>
        <w:pStyle w:val="FirstParagraph"/>
      </w:pPr>
      <w:r>
        <w:rPr>
          <w:b/>
          <w:bCs/>
        </w:rPr>
        <w:t xml:space="preserve">For future students undertaking similar projects:</w:t>
      </w:r>
      <w:r>
        <w:t xml:space="preserve"> </w:t>
      </w:r>
      <w:r>
        <w:t xml:space="preserve">begin</w:t>
      </w:r>
      <w:r>
        <w:t xml:space="preserve"> </w:t>
      </w:r>
      <w:r>
        <w:rPr>
          <w:b/>
          <w:bCs/>
        </w:rPr>
        <w:t xml:space="preserve">traceability</w:t>
      </w:r>
      <w:r>
        <w:t xml:space="preserve"> </w:t>
      </w:r>
      <w:r>
        <w:t xml:space="preserve">early (requirement IDs in design and test plans); treat</w:t>
      </w:r>
      <w:r>
        <w:t xml:space="preserve"> </w:t>
      </w:r>
      <w:r>
        <w:rPr>
          <w:b/>
          <w:bCs/>
        </w:rPr>
        <w:t xml:space="preserve">secrets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tenant configuration</w:t>
      </w: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process risks</w:t>
      </w:r>
      <w:r>
        <w:t xml:space="preserve">, not afterthoughts; scope</w:t>
      </w:r>
      <w:r>
        <w:t xml:space="preserve"> </w:t>
      </w:r>
      <w:r>
        <w:rPr>
          <w:b/>
          <w:bCs/>
        </w:rPr>
        <w:t xml:space="preserve">push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VoIP</w:t>
      </w:r>
      <w:r>
        <w:t xml:space="preserve"> </w:t>
      </w:r>
      <w:r>
        <w:t xml:space="preserve">early because platform variance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dominate integration time.</w:t>
      </w:r>
    </w:p>
    <w:p>
      <w:pPr>
        <w:pStyle w:val="BodyText"/>
      </w:pPr>
      <w:r>
        <w:rPr>
          <w:b/>
          <w:bCs/>
        </w:rPr>
        <w:t xml:space="preserve">For academic supervisors:</w:t>
      </w:r>
      <w:r>
        <w:t xml:space="preserve"> </w:t>
      </w:r>
      <w:r>
        <w:t xml:space="preserve">align</w:t>
      </w:r>
      <w:r>
        <w:t xml:space="preserve"> </w:t>
      </w:r>
      <w:r>
        <w:rPr>
          <w:b/>
          <w:bCs/>
        </w:rPr>
        <w:t xml:space="preserve">expectations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thin client</w:t>
      </w:r>
      <w:r>
        <w:t xml:space="preserve"> </w:t>
      </w:r>
      <w:r>
        <w:t xml:space="preserve">realities—success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mean defensible integration and evaluation under</w:t>
      </w:r>
      <w:r>
        <w:t xml:space="preserve"> </w:t>
      </w:r>
      <w:r>
        <w:rPr>
          <w:b/>
          <w:bCs/>
        </w:rPr>
        <w:t xml:space="preserve">NFR-012</w:t>
      </w:r>
      <w:r>
        <w:t xml:space="preserve"> </w:t>
      </w:r>
      <w:r>
        <w:t xml:space="preserve">constraints, not parity with mass-market products.</w:t>
      </w:r>
    </w:p>
    <w:p>
      <w:pPr>
        <w:pStyle w:val="BodyText"/>
      </w:pPr>
      <w:r>
        <w:rPr>
          <w:b/>
          <w:bCs/>
        </w:rPr>
        <w:t xml:space="preserve">For practitioners evaluating the codebase:</w:t>
      </w:r>
      <w:r>
        <w:t xml:space="preserve"> </w:t>
      </w:r>
      <w:r>
        <w:t xml:space="preserve">assume</w:t>
      </w:r>
      <w:r>
        <w:t xml:space="preserve"> </w:t>
      </w:r>
      <w:r>
        <w:rPr>
          <w:b/>
          <w:bCs/>
        </w:rPr>
        <w:t xml:space="preserve">prototype</w:t>
      </w:r>
      <w:r>
        <w:t xml:space="preserve"> </w:t>
      </w:r>
      <w:r>
        <w:t xml:space="preserve">credential posture until</w:t>
      </w:r>
      <w:r>
        <w:t xml:space="preserve"> </w:t>
      </w:r>
      <w:r>
        <w:rPr>
          <w:b/>
          <w:bCs/>
        </w:rPr>
        <w:t xml:space="preserve">NFR-005</w:t>
      </w:r>
      <w:r>
        <w:t xml:space="preserve">-grade hardening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applied; review vendor documentation for production deployment.</w:t>
      </w:r>
    </w:p>
    <w:p>
      <w:r>
        <w:pict>
          <v:rect style="width:0;height:1.5pt" o:hralign="center" o:hrstd="t" o:hr="t"/>
        </w:pict>
      </w:r>
    </w:p>
    <w:bookmarkEnd w:id="22"/>
    <w:bookmarkStart w:id="23" w:name="future-enhancements"/>
    <w:p>
      <w:pPr>
        <w:pStyle w:val="Heading2"/>
      </w:pPr>
      <w:r>
        <w:t xml:space="preserve">9.4 Future enhancements</w:t>
      </w:r>
    </w:p>
    <w:p>
      <w:pPr>
        <w:pStyle w:val="FirstParagraph"/>
      </w:pPr>
      <w:r>
        <w:t xml:space="preserve">Future work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forward-looking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distinct</w:t>
      </w:r>
      <w:r>
        <w:t xml:space="preserve"> </w:t>
      </w:r>
      <w:r>
        <w:t xml:space="preserve">from repeating Chapter 8 limitations: it</w:t>
      </w:r>
      <w:r>
        <w:t xml:space="preserve"> </w:t>
      </w:r>
      <w:r>
        <w:rPr>
          <w:b/>
          <w:bCs/>
        </w:rPr>
        <w:t xml:space="preserve">proposes</w:t>
      </w:r>
      <w:r>
        <w:t xml:space="preserve"> </w:t>
      </w:r>
      <w:r>
        <w:t xml:space="preserve">improvements rather than only stating constraints.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 and CI:</w:t>
      </w:r>
      <w:r>
        <w:t xml:space="preserve"> </w:t>
      </w:r>
      <w:r>
        <w:t xml:space="preserve">introduce regression tests and pipeline checks to address</w:t>
      </w:r>
      <w:r>
        <w:t xml:space="preserve"> </w:t>
      </w:r>
      <w:r>
        <w:rPr>
          <w:b/>
          <w:bCs/>
        </w:rPr>
        <w:t xml:space="preserve">NFR-012</w:t>
      </w:r>
      <w:r>
        <w:t xml:space="preserve"> </w:t>
      </w:r>
      <w:r>
        <w:t xml:space="preserve">and reduce reliance on manual runs alone.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Observability:</w:t>
      </w:r>
      <w:r>
        <w:t xml:space="preserve"> </w:t>
      </w:r>
      <w:r>
        <w:t xml:space="preserve">extend beyond console diagnostics (</w:t>
      </w:r>
      <w:r>
        <w:rPr>
          <w:b/>
          <w:bCs/>
        </w:rPr>
        <w:t xml:space="preserve">NFR-010</w:t>
      </w:r>
      <w:r>
        <w:t xml:space="preserve">) where project resources allow.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Secret and configuration management:</w:t>
      </w:r>
      <w:r>
        <w:t xml:space="preserve"> </w:t>
      </w:r>
      <w:r>
        <w:t xml:space="preserve">move toward environment-specific secret injection and rotation strategies suitable beyond demonstrations (</w:t>
      </w:r>
      <w:r>
        <w:rPr>
          <w:b/>
          <w:bCs/>
        </w:rPr>
        <w:t xml:space="preserve">NFR-005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Device and OS coverage:</w:t>
      </w:r>
      <w:r>
        <w:t xml:space="preserve"> </w:t>
      </w:r>
      <w:r>
        <w:t xml:space="preserve">broaden manual and automated coverage across manufacturers and OS versions for push and calls.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 features:</w:t>
      </w:r>
      <w:r>
        <w:t xml:space="preserve"> </w:t>
      </w:r>
      <w:r>
        <w:t xml:space="preserve">optional features</w:t>
      </w:r>
      <w:r>
        <w:t xml:space="preserve"> </w:t>
      </w:r>
      <w:r>
        <w:rPr>
          <w:b/>
          <w:bCs/>
        </w:rPr>
        <w:t xml:space="preserve">outside</w:t>
      </w:r>
      <w:r>
        <w:t xml:space="preserve"> </w:t>
      </w:r>
      <w:r>
        <w:t xml:space="preserve">the current FR catalogue—only after core obligations</w:t>
      </w:r>
      <w:r>
        <w:t xml:space="preserve"> </w:t>
      </w:r>
      <w:r>
        <w:rPr>
          <w:b/>
          <w:bCs/>
        </w:rPr>
        <w:t xml:space="preserve">are</w:t>
      </w:r>
      <w:r>
        <w:t xml:space="preserve"> </w:t>
      </w:r>
      <w:r>
        <w:t xml:space="preserve">verified—could include richer admin tooling or analytics, subject to scope and ethics review.</w:t>
      </w:r>
    </w:p>
    <w:p>
      <w:pPr>
        <w:pStyle w:val="FirstParagraph"/>
      </w:pPr>
      <w:r>
        <w:t xml:space="preserve">These enhancements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exceed the minimum undergraduate deliverable; they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serve as a roadmap rather than commitments implied by the current thesis submission.</w:t>
      </w:r>
    </w:p>
    <w:p>
      <w:r>
        <w:pict>
          <v:rect style="width:0;height:1.5pt" o:hralign="center" o:hrstd="t" o:hr="t"/>
        </w:pict>
      </w:r>
    </w:p>
    <w:bookmarkEnd w:id="23"/>
    <w:bookmarkStart w:id="24" w:name="closing"/>
    <w:p>
      <w:pPr>
        <w:pStyle w:val="Heading2"/>
      </w:pPr>
      <w:r>
        <w:t xml:space="preserve">Closing</w:t>
      </w:r>
    </w:p>
    <w:p>
      <w:pPr>
        <w:pStyle w:val="FirstParagraph"/>
      </w:pPr>
      <w:r>
        <w:t xml:space="preserve">The Secure Chat Application project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be positioned as a</w:t>
      </w:r>
      <w:r>
        <w:t xml:space="preserve"> </w:t>
      </w:r>
      <w:r>
        <w:rPr>
          <w:b/>
          <w:bCs/>
        </w:rPr>
        <w:t xml:space="preserve">requirements-driven</w:t>
      </w:r>
      <w:r>
        <w:t xml:space="preserve">,</w:t>
      </w:r>
      <w:r>
        <w:t xml:space="preserve"> </w:t>
      </w:r>
      <w:r>
        <w:rPr>
          <w:b/>
          <w:bCs/>
        </w:rPr>
        <w:t xml:space="preserve">vendor-integrated</w:t>
      </w:r>
      <w:r>
        <w:t xml:space="preserve"> </w:t>
      </w:r>
      <w:r>
        <w:t xml:space="preserve">mobile client with</w:t>
      </w:r>
      <w:r>
        <w:t xml:space="preserve"> </w:t>
      </w:r>
      <w:r>
        <w:rPr>
          <w:b/>
          <w:bCs/>
        </w:rPr>
        <w:t xml:space="preserve">documented</w:t>
      </w:r>
      <w:r>
        <w:t xml:space="preserve"> </w:t>
      </w:r>
      <w:r>
        <w:t xml:space="preserve">design, implementation, evaluation, and discussion,</w:t>
      </w:r>
      <w:r>
        <w:t xml:space="preserve"> </w:t>
      </w:r>
      <w:r>
        <w:rPr>
          <w:b/>
          <w:bCs/>
        </w:rPr>
        <w:t xml:space="preserve">closing</w:t>
      </w:r>
      <w:r>
        <w:t xml:space="preserve"> </w:t>
      </w:r>
      <w:r>
        <w:t xml:space="preserve">the arc from Chapter 4 through Chapter 8 and opening</w:t>
      </w:r>
      <w:r>
        <w:t xml:space="preserve"> </w:t>
      </w:r>
      <w:r>
        <w:rPr>
          <w:b/>
          <w:bCs/>
        </w:rPr>
        <w:t xml:space="preserve">future work</w:t>
      </w:r>
      <w:r>
        <w:t xml:space="preserve"> </w:t>
      </w:r>
      <w:r>
        <w:t xml:space="preserve">in §9.4.</w:t>
      </w:r>
      <w:r>
        <w:t xml:space="preserve"> </w:t>
      </w:r>
      <w:r>
        <w:rPr>
          <w:b/>
          <w:bCs/>
        </w:rPr>
        <w:t xml:space="preserve">Final</w:t>
      </w:r>
      <w:r>
        <w:t xml:space="preserve"> </w:t>
      </w:r>
      <w:r>
        <w:t xml:space="preserve">evaluative certainty</w:t>
      </w:r>
      <w:r>
        <w:t xml:space="preserve"> </w:t>
      </w:r>
      <w:r>
        <w:rPr>
          <w:b/>
          <w:bCs/>
        </w:rPr>
        <w:t xml:space="preserve">will</w:t>
      </w:r>
      <w:r>
        <w:t xml:space="preserve"> </w:t>
      </w:r>
      <w:r>
        <w:t xml:space="preserve">follow Chapter 7 completion.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../../../examples/SecureChatApp/" TargetMode="External" /><Relationship Type="http://schemas.openxmlformats.org/officeDocument/2006/relationships/hyperlink" Id="rId10" Target="../design/academic-system-design.md" TargetMode="External" /><Relationship Type="http://schemas.openxmlformats.org/officeDocument/2006/relationships/hyperlink" Id="rId13" Target="../discussion/academic-discussion.md" TargetMode="External" /><Relationship Type="http://schemas.openxmlformats.org/officeDocument/2006/relationships/hyperlink" Id="rId12" Target="../evaluation/academic-testing-evaluation.md" TargetMode="External" /><Relationship Type="http://schemas.openxmlformats.org/officeDocument/2006/relationships/hyperlink" Id="rId11" Target="../implementation/academic-implementation.md" TargetMode="External" /><Relationship Type="http://schemas.openxmlformats.org/officeDocument/2006/relationships/hyperlink" Id="rId9" Target="../requirements-tables.md" TargetMode="External" /><Relationship Type="http://schemas.openxmlformats.org/officeDocument/2006/relationships/hyperlink" Id="rId15" Target="academic-requirements-traceability-conclus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../../../examples/SecureChatApp/" TargetMode="External" /><Relationship Type="http://schemas.openxmlformats.org/officeDocument/2006/relationships/hyperlink" Id="rId10" Target="../design/academic-system-design.md" TargetMode="External" /><Relationship Type="http://schemas.openxmlformats.org/officeDocument/2006/relationships/hyperlink" Id="rId13" Target="../discussion/academic-discussion.md" TargetMode="External" /><Relationship Type="http://schemas.openxmlformats.org/officeDocument/2006/relationships/hyperlink" Id="rId12" Target="../evaluation/academic-testing-evaluation.md" TargetMode="External" /><Relationship Type="http://schemas.openxmlformats.org/officeDocument/2006/relationships/hyperlink" Id="rId11" Target="../implementation/academic-implementation.md" TargetMode="External" /><Relationship Type="http://schemas.openxmlformats.org/officeDocument/2006/relationships/hyperlink" Id="rId9" Target="../requirements-tables.md" TargetMode="External" /><Relationship Type="http://schemas.openxmlformats.org/officeDocument/2006/relationships/hyperlink" Id="rId15" Target="academic-requirements-traceability-conclus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2026-04-14T08:20:06Z</dcterms:created>
  <dcterms:modified xsi:type="dcterms:W3CDTF">2026-04-14T08:20:06Z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