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- value type, класс - reference type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не может быть отнаследована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не может содержать безапараметровый конструктор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не nullable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при присваивании и передаче в методы копируется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Поля для чтения можно изменить на другом уровне класса, может быть определено в конструкторе.  Константные же поля определяются только на этапе компиляции, то есть в месте объявления.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Когда строка часто изменяется или дополняется - StringBuilder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если она пару раз используется и заведомо небольшая - 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Основные парадигмы ООП: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Наследование - способность классов использовать и заимствовать свойства классов-родителей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Инкапсуляция - сокрытие реализации и предоставление пользователю и программисту только набора методов для взаимодействия класса с другими классами и данными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Абстракция - выбор из всех параметров программируемой системы только необходимые параметры и абстрагирование от несущественных параметров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Полиморфизм - многообразие форм, классы в иерархии наследования могут иметь разную реализацию одинаковых методов, внутри класса так же могут быть переопределения метода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IEnumerable&lt;T&gt;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Параметры с типом ref должны быть инициализированы до вызова метода, а с параметром out – нужно инициализировать уже в самом методе.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Инициализатор инстанса класса при инициализации объекта. Какой-то набор действий, необоходимых для создания валидного объекта.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статический - вызывается при загрузке класса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параметрами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без параметров (дефолтный)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