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B34" w:rsidRPr="00BC6EE9" w:rsidRDefault="00021EAA" w:rsidP="00BC6EE9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C6EE9">
        <w:rPr>
          <w:rFonts w:ascii="Times New Roman" w:hAnsi="Times New Roman" w:cs="Times New Roman"/>
          <w:sz w:val="24"/>
          <w:szCs w:val="24"/>
        </w:rPr>
        <w:t xml:space="preserve">The </w:t>
      </w:r>
      <w:r w:rsidR="003F30EE">
        <w:rPr>
          <w:rFonts w:ascii="Times New Roman" w:hAnsi="Times New Roman" w:cs="Times New Roman"/>
          <w:sz w:val="24"/>
          <w:szCs w:val="24"/>
        </w:rPr>
        <w:t>I</w:t>
      </w:r>
      <w:bookmarkStart w:id="0" w:name="_GoBack"/>
      <w:bookmarkEnd w:id="0"/>
      <w:r w:rsidRPr="00BC6EE9">
        <w:rPr>
          <w:rFonts w:ascii="Times New Roman" w:hAnsi="Times New Roman" w:cs="Times New Roman"/>
          <w:sz w:val="24"/>
          <w:szCs w:val="24"/>
        </w:rPr>
        <w:t xml:space="preserve">ngredients table will be the most dynamic. The “Low” field will switch from No to Yes when the amount becomes 2 (boxes, crates, or jars of the ingredient) or less. The “Out” field will switch from No to Yes when the amount becomes 0. Further, when the </w:t>
      </w:r>
      <w:r w:rsidR="0095316E" w:rsidRPr="00BC6EE9">
        <w:rPr>
          <w:rFonts w:ascii="Times New Roman" w:hAnsi="Times New Roman" w:cs="Times New Roman"/>
          <w:sz w:val="24"/>
          <w:szCs w:val="24"/>
        </w:rPr>
        <w:t>“Out” field becomes Yes, the “canmake” field in the Recipes table will switch to No.</w:t>
      </w:r>
    </w:p>
    <w:sectPr w:rsidR="00985B34" w:rsidRPr="00BC6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EAA"/>
    <w:rsid w:val="00021EAA"/>
    <w:rsid w:val="003F30EE"/>
    <w:rsid w:val="0095316E"/>
    <w:rsid w:val="00985B34"/>
    <w:rsid w:val="00BC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Mesa Community Colleges</Company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2012-10-17T20:52:00Z</dcterms:created>
  <dcterms:modified xsi:type="dcterms:W3CDTF">2012-10-17T21:05:00Z</dcterms:modified>
</cp:coreProperties>
</file>