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BB8BE" w14:textId="650BEBCB" w:rsidR="00A4290F" w:rsidRPr="00ED4168" w:rsidRDefault="007A21D0" w:rsidP="00ED416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1B48C" wp14:editId="635A68E3">
                <wp:simplePos x="0" y="0"/>
                <wp:positionH relativeFrom="column">
                  <wp:posOffset>4005580</wp:posOffset>
                </wp:positionH>
                <wp:positionV relativeFrom="paragraph">
                  <wp:posOffset>-330200</wp:posOffset>
                </wp:positionV>
                <wp:extent cx="2314575" cy="352425"/>
                <wp:effectExtent l="0" t="0" r="9525" b="952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D738C1" w14:textId="3E8FED14" w:rsidR="007A21D0" w:rsidRPr="00BF278E" w:rsidRDefault="007A21D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F278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Костів А.О., МЕ-11, ІНЕМ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1B48C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15.4pt;margin-top:-26pt;width:182.25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" fillcolor="white [3201]" stroked="f" strokeweight=".5pt">
                <v:textbox>
                  <w:txbxContent>
                    <w:p w14:paraId="4FD738C1" w14:textId="3E8FED14" w:rsidR="007A21D0" w:rsidRPr="00BF278E" w:rsidRDefault="007A21D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F278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Костів А.О., МЕ-11, ІНЕМ</w:t>
                      </w:r>
                    </w:p>
                  </w:txbxContent>
                </v:textbox>
              </v:shape>
            </w:pict>
          </mc:Fallback>
        </mc:AlternateContent>
      </w:r>
      <w:r w:rsidR="00ED4168" w:rsidRPr="00ED41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Особливістю існуючої системи макроек</w:t>
      </w:r>
      <w:bookmarkStart w:id="0" w:name="_GoBack"/>
      <w:bookmarkEnd w:id="0"/>
      <w:r w:rsidR="00ED4168" w:rsidRPr="00ED41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ономічного обліку і статистичної звітності в Україні є те, що вона системно відстежує і оцінює інфляційні процеси з використанням як індивідуальних, так і агрегованих показників. Водночас динаміка девальвації оцінюється зазвичай номінально, шляхом простого моніторингу курсу національної валюти щодо провідних валют світу.</w:t>
      </w:r>
    </w:p>
    <w:p w14:paraId="01E072BC" w14:textId="1218F53C" w:rsidR="00ED4168" w:rsidRPr="00ED4168" w:rsidRDefault="00ED4168" w:rsidP="00ED416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41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Про актуальність та тісноту взаємозв'язків між цими двома макроекономічними категоріями переконливо свідчить той факт, що деякі літературні джерела та автори натякають на їх змістову близькість чи навіть певну тотожність: "...термін "інфляція" близький за значенням до </w:t>
      </w:r>
      <w:proofErr w:type="spellStart"/>
      <w:r w:rsidRPr="00ED41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терміна</w:t>
      </w:r>
      <w:proofErr w:type="spellEnd"/>
      <w:r w:rsidRPr="00ED41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"девальвація", однак перший частіше стосується купівельної спроможності національної валюти на місцевому товарному ринку, а другий - купівельної спроможності стосовно іноземної валюти. По суті, і те, і друге характеризується зміною купівельної спроможності".</w:t>
      </w:r>
    </w:p>
    <w:p w14:paraId="02B38A21" w14:textId="26B45BF4" w:rsidR="00ED4168" w:rsidRPr="00ED4168" w:rsidRDefault="00ED4168" w:rsidP="00ED41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ED4168">
        <w:rPr>
          <w:color w:val="000000"/>
        </w:rPr>
        <w:t xml:space="preserve">Відмінності між інфляцією та девальвацією виявляються, насамперед, у темпах та динаміці їх прояву. Інфляція зазвичай, з точки зору динамізму її проявів, є більш розміреною і плавною, проте з різними показниками динаміки в різні періоди часу. А девальвація має схильність до дискретних змін, яким часто притаманні ознаки макроекономічного збурення (шоку). Остання її особливість характерна для вітчизняної економіки. Динамічний аналіз та зіставлення цих явищ демонструють, що рівень їх </w:t>
      </w:r>
      <w:proofErr w:type="spellStart"/>
      <w:r w:rsidRPr="00ED4168">
        <w:rPr>
          <w:color w:val="000000"/>
        </w:rPr>
        <w:t>волатильності</w:t>
      </w:r>
      <w:proofErr w:type="spellEnd"/>
      <w:r w:rsidRPr="00ED4168">
        <w:rPr>
          <w:color w:val="000000"/>
        </w:rPr>
        <w:t xml:space="preserve"> як у довгостроковому, так і в короткостроковому періодах помітно відрізняється, причому із збереженням спільної для обох випадків закономірності: інфляція має значно нижчу </w:t>
      </w:r>
      <w:proofErr w:type="spellStart"/>
      <w:r w:rsidRPr="00ED4168">
        <w:rPr>
          <w:color w:val="000000"/>
        </w:rPr>
        <w:t>волатильність</w:t>
      </w:r>
      <w:proofErr w:type="spellEnd"/>
      <w:r w:rsidRPr="00ED4168">
        <w:rPr>
          <w:color w:val="000000"/>
        </w:rPr>
        <w:t xml:space="preserve">, </w:t>
      </w:r>
      <w:proofErr w:type="spellStart"/>
      <w:r w:rsidRPr="00ED4168">
        <w:rPr>
          <w:color w:val="000000"/>
        </w:rPr>
        <w:t>ніждевальвація</w:t>
      </w:r>
      <w:proofErr w:type="spellEnd"/>
      <w:r w:rsidRPr="00ED4168">
        <w:rPr>
          <w:color w:val="000000"/>
        </w:rPr>
        <w:t>, і, відповідно, піддається більш достовірній оцінці та гіпотетичним прогнозам.</w:t>
      </w:r>
    </w:p>
    <w:p w14:paraId="3CC6C54B" w14:textId="77777777" w:rsidR="00ED4168" w:rsidRPr="00ED4168" w:rsidRDefault="00ED4168" w:rsidP="00ED41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ED4168">
        <w:rPr>
          <w:color w:val="000000"/>
        </w:rPr>
        <w:t>Девальвація, на відміну від інфляції, з очевидною періодичністю змінює своє значення з позитивного (власне, з девальвації") на негативне, тобто входить у фазу ревальвації. Інфляція ж, принаймні у вимірі, проведеному з використанням середньорічних показників, практично ніколи не переміщується в зону дефляції - вона є перманентним явищем для ринкової економіки і змінює лише власну позитивну динаміку.</w:t>
      </w:r>
    </w:p>
    <w:p w14:paraId="308B95A8" w14:textId="77777777" w:rsidR="00ED4168" w:rsidRPr="00ED4168" w:rsidRDefault="00ED4168" w:rsidP="00ED41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ED4168">
        <w:rPr>
          <w:color w:val="000000"/>
        </w:rPr>
        <w:t>Девальвація через її схильність до періодичних і стрибкоподібних змін має більший і гостріший соціальний та психологічний резонанси. Зміна курсів валют - явище, яке неможливо не помітити, навіть якщо людина не має економічної освіти: адже практично на кожному кроці є інформація різних банків про те, на скільки змінюється і в якому напрямі рухається курс національної валюти.</w:t>
      </w:r>
    </w:p>
    <w:p w14:paraId="6284B950" w14:textId="6A9C9CAA" w:rsidR="00ED4168" w:rsidRPr="00ED4168" w:rsidRDefault="00ED4168" w:rsidP="00ED4168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ED4168">
        <w:rPr>
          <w:color w:val="000000"/>
        </w:rPr>
        <w:t xml:space="preserve">Інфляція ж постійно йде в одному напрямі та зазвичай виражається показником індексу споживчих цін, який на побутовому рівні сприймається доволі </w:t>
      </w:r>
      <w:proofErr w:type="spellStart"/>
      <w:r w:rsidRPr="00ED4168">
        <w:rPr>
          <w:color w:val="000000"/>
        </w:rPr>
        <w:t>абстрактно</w:t>
      </w:r>
      <w:proofErr w:type="spellEnd"/>
      <w:r w:rsidRPr="00ED4168">
        <w:rPr>
          <w:color w:val="000000"/>
        </w:rPr>
        <w:t>. Люди адаптуються до цього так, як наш організм звикає до поступової зміни температури оточуючого середовища, за умови, що темп інфляції перебуває в соціально терпимих межах, тобто на рівні 10-15% на рік.</w:t>
      </w:r>
    </w:p>
    <w:p w14:paraId="3F06F2F9" w14:textId="5559F703" w:rsidR="00ED4168" w:rsidRPr="00ED4168" w:rsidRDefault="00ED4168" w:rsidP="00ED416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D41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Щодо взаємних </w:t>
      </w:r>
      <w:proofErr w:type="spellStart"/>
      <w:r w:rsidRPr="00ED41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зв'язків</w:t>
      </w:r>
      <w:proofErr w:type="spellEnd"/>
      <w:r w:rsidRPr="00ED41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і взаємних впливів між інфляцією та девальвацією, то тут потрібно сказати, що (як свідчать емпіричні дані) обидва цих явища - своєрідні споріднені "хвороби" існуючої системи грошово-валютних відносин, які одна одну зміцнюють і сприяють появі негативного кумулятивного макроекономічного шоку. Посилення девальвації національної валюти веде до виникнення інфляційних збурень у сегменті ринку, зорієнтованому на товари, що експортуються. Водночас стала інфляція з високими показниками її темпів зумовлює втрату довіри до національної валюти, спонукає споживачів переводити свої заощадження в стабільнішу валюту і тим самим посилювати девальваційні тенденції.</w:t>
      </w:r>
    </w:p>
    <w:p w14:paraId="77661231" w14:textId="3123B3B5" w:rsidR="00ED4168" w:rsidRPr="00ED4168" w:rsidRDefault="00ED4168" w:rsidP="00ED41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D41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Загальна модель макроекономічної взаємодії інфляції та девальвації диференціюється за періодами. У довгостроковому періоді зростання середньорічних показників інфляції в межах терпимого "соціального коридору", тобто від 0 до 10% (повзуча, помірна інфляція), відбувається на фоні збільшення довіри до національної валюти та зміцнення останньої щодо провідних валют світу або щонайменше сповільнення темпів її девальвації. Середньорічний приріст, що перевищує позначку 10% (галопуюча інфляція), загального індексу цін, у рамках того самого часового відрізку, спричиняє різке збільшення девальвації національної валюти. Короткостроковий період, попри збереження загальної закономірності зв'язку, коли зменшення темпів інфляції супроводжується посиленням національної валюти, а їх зростання, відповідно, зумовлює збільшення темпів девальвації, має одну відмінну особливість. Інфляція та девальвація у короткостроковому періоді виявляють відносно невисокий рівень взаємної сприйнятливості, коли "девальваційний вибух" не супроводжується інфляцією з такими самими критичними показниками її зростання.</w:t>
      </w:r>
    </w:p>
    <w:sectPr w:rsidR="00ED4168" w:rsidRPr="00ED41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CAC"/>
    <w:rsid w:val="005A1CAC"/>
    <w:rsid w:val="007A21D0"/>
    <w:rsid w:val="00A4290F"/>
    <w:rsid w:val="00BF278E"/>
    <w:rsid w:val="00ED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0E3C"/>
  <w15:chartTrackingRefBased/>
  <w15:docId w15:val="{6653BA21-A6EB-4195-9570-C1A900F5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4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4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2922</Words>
  <Characters>1667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4</cp:revision>
  <dcterms:created xsi:type="dcterms:W3CDTF">2019-04-21T15:34:00Z</dcterms:created>
  <dcterms:modified xsi:type="dcterms:W3CDTF">2019-04-21T15:54:00Z</dcterms:modified>
</cp:coreProperties>
</file>