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6CA0" w14:textId="592DFF64" w:rsidR="00F0427E" w:rsidRDefault="007F6FE2" w:rsidP="007F6F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FE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F6FE2">
        <w:rPr>
          <w:rFonts w:ascii="Times New Roman" w:hAnsi="Times New Roman" w:cs="Times New Roman"/>
          <w:b/>
          <w:sz w:val="28"/>
          <w:szCs w:val="28"/>
        </w:rPr>
        <w:t xml:space="preserve"> 1. </w:t>
      </w:r>
      <w:proofErr w:type="spellStart"/>
      <w:r w:rsidRPr="007F6FE2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7F6F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FE2">
        <w:rPr>
          <w:rFonts w:ascii="Times New Roman" w:hAnsi="Times New Roman" w:cs="Times New Roman"/>
          <w:b/>
          <w:sz w:val="28"/>
          <w:szCs w:val="28"/>
        </w:rPr>
        <w:t>соціально-економічного</w:t>
      </w:r>
      <w:proofErr w:type="spellEnd"/>
      <w:r w:rsidRPr="007F6FE2">
        <w:rPr>
          <w:rFonts w:ascii="Times New Roman" w:hAnsi="Times New Roman" w:cs="Times New Roman"/>
          <w:b/>
          <w:sz w:val="28"/>
          <w:szCs w:val="28"/>
        </w:rPr>
        <w:t xml:space="preserve"> стану </w:t>
      </w:r>
      <w:r w:rsidR="005B78C8">
        <w:rPr>
          <w:rFonts w:ascii="Times New Roman" w:hAnsi="Times New Roman" w:cs="Times New Roman"/>
          <w:b/>
          <w:sz w:val="28"/>
          <w:szCs w:val="28"/>
          <w:lang w:val="uk-UA"/>
        </w:rPr>
        <w:t>Львівської</w:t>
      </w:r>
      <w:r w:rsidRPr="007F6F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FE2">
        <w:rPr>
          <w:rFonts w:ascii="Times New Roman" w:hAnsi="Times New Roman" w:cs="Times New Roman"/>
          <w:b/>
          <w:sz w:val="28"/>
          <w:szCs w:val="28"/>
        </w:rPr>
        <w:t>області</w:t>
      </w:r>
      <w:proofErr w:type="spellEnd"/>
      <w:r w:rsidRPr="007F6F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FE2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 w:rsidRPr="007F6FE2">
        <w:rPr>
          <w:rFonts w:ascii="Times New Roman" w:hAnsi="Times New Roman" w:cs="Times New Roman"/>
          <w:b/>
          <w:sz w:val="28"/>
          <w:szCs w:val="28"/>
        </w:rPr>
        <w:t>.</w:t>
      </w:r>
    </w:p>
    <w:p w14:paraId="22183C6A" w14:textId="7C3D4B43" w:rsidR="00F0427E" w:rsidRPr="001252D0" w:rsidRDefault="007F6FE2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b/>
          <w:sz w:val="24"/>
          <w:szCs w:val="24"/>
        </w:rPr>
        <w:t>Львівська</w:t>
      </w:r>
      <w:proofErr w:type="spellEnd"/>
      <w:r w:rsidRPr="001252D0">
        <w:rPr>
          <w:rFonts w:ascii="Times New Roman" w:hAnsi="Times New Roman" w:cs="Times New Roman"/>
          <w:b/>
          <w:sz w:val="24"/>
          <w:szCs w:val="24"/>
        </w:rPr>
        <w:t xml:space="preserve"> область</w:t>
      </w:r>
      <w:r w:rsidRPr="001252D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адміністративно-територіальна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одиниця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заході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Украї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України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 xml:space="preserve">. Одна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найрозвиненіших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економічному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культурному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науковому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напрямках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вихід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 </w:t>
      </w:r>
      <w:hyperlink r:id="rId8" w:tooltip="Державний кордон України" w:history="1"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державного кордону</w:t>
        </w:r>
      </w:hyperlink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hyperlink r:id="rId9" w:tooltip="Польщ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Республікою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Польща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Територією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проходить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0" w:tooltip="Головний європейський вододіл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Головний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європейський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вододіл</w:t>
        </w:r>
      </w:hyperlink>
      <w:r w:rsidRPr="001252D0">
        <w:rPr>
          <w:rFonts w:ascii="Times New Roman" w:hAnsi="Times New Roman" w:cs="Times New Roman"/>
          <w:sz w:val="24"/>
          <w:szCs w:val="24"/>
        </w:rPr>
        <w:t>басейнів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Чорного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Балтійського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морів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знаходиться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південна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1" w:tooltip="Львівсько-Волинський вугільний басейн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Львівсько-Волинського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кам'яновугільного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басейну</w:t>
        </w:r>
        <w:proofErr w:type="spellEnd"/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західні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2" w:tooltip="Передкарпатська нафтогазоносна область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Передкарпатської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нафтогазоносної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області</w:t>
        </w:r>
        <w:proofErr w:type="spellEnd"/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>та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3" w:tooltip="Передкарпатський сірконосний басейн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Передкарпатського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сірконосного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басейну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промисловими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центрами є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4" w:tooltip="Червоноградська агломераці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Червоноградський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>,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5" w:tooltip="Львівська агломераці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Львівський</w:t>
        </w:r>
        <w:proofErr w:type="spellEnd"/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>та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6" w:tooltip="Дрогобицька агломераці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Бориславсько-Дрогобицько-Стебницький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>.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7" w:tooltip="Трускавець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Трускавець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>,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8" w:tooltip="Моршин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Моршин</w:t>
        </w:r>
        <w:proofErr w:type="spellEnd"/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>та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9" w:tooltip="Східниц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Східниця</w:t>
        </w:r>
        <w:proofErr w:type="spellEnd"/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бальнеологічними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курортами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міжнародного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Архітектурні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ансамблі</w:t>
      </w:r>
      <w:proofErr w:type="spellEnd"/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20" w:tooltip="Історичний центр Львова" w:history="1"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Львова</w:t>
        </w:r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>та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21" w:tooltip="Архітектурні пам'ятки Жовкви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Жовкви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 xml:space="preserve">, замки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пам'ятки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багата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область,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22" w:tooltip="Карпатські гори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Карпатські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гори</w:t>
        </w:r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великі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перспективи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</w:p>
    <w:p w14:paraId="390A9B18" w14:textId="16044431" w:rsidR="00F0427E" w:rsidRPr="001252D0" w:rsidRDefault="00F0427E" w:rsidP="00FF6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Область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розташована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трьох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зонах: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лісовій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23" w:tooltip="Лісостепова зона України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лісостеповій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передгірних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гірських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районах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24" w:tooltip="Карпати" w:history="1"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Карпат</w:t>
        </w:r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25" w:tooltip="Ліси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Ліси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займають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¼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частину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площі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252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території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пролягають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міжнародні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комунікації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які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з'єднують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26" w:tooltip="Украї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Україну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27" w:tooltip="Польщ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Польщею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28" w:tooltip="Словаччи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Словаччиною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29" w:tooltip="Угорщи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Угорщиною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0" w:tooltip="Румуні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Румунією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Північна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частина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лежить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 межах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1" w:tooltip="Волинська височи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Волинської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височини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2" w:tooltip="Мале Полісся" w:history="1"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Малого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Полісся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3" w:tooltip="Подільська височи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Подільської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височини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відокремлена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долиною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4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Дністра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від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5" w:tooltip="Передкарпатт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Передкарпаття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На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південному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заході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розташовані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хребти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Українських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6" w:tooltip="Карпати" w:history="1"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Карпат</w:t>
        </w:r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Північна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частина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розташована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лісостеповій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зоні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Має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сприятливі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умови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розвитку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сільського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рекреаційного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господарства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BEC2839" w14:textId="4CDAF53C" w:rsidR="0093264C" w:rsidRPr="001252D0" w:rsidRDefault="0093264C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400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територій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і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об'єктів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природно-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заповідного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фонду,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зокрема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Державний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природний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заповідник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«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Розточчя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», 33 заказники,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ботанічний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сад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Львівського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університету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240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пам'яток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природи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55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парків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пам'яток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садово-паркового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мистецтва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61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заповідне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урочище.</w:t>
      </w:r>
    </w:p>
    <w:p w14:paraId="06FEED78" w14:textId="2BAFC83C" w:rsidR="00F61312" w:rsidRPr="001252D0" w:rsidRDefault="00F61312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найпоширеніших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грунтоутворюючих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порід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належать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лесоподібні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суглинки,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вкривають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рівнинної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лесоподібних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відкладах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утворились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найродючіші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опідзолені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грунти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широколистяних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Найпоширенішими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ясно-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й темно-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опідзолені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чорноземи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опідзолені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60 %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). Вони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залягають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здебільшого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невисоких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плато і слабопологих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схилах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рідко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зустрічаються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пологих і коротких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спадистих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схилах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часто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рельєфі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виражені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піщані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горби, пасма, вали 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lastRenderedPageBreak/>
        <w:t>палеодюни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дерново-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підзолистих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зайняті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Вони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утворилися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результаті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поєднання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підзолистого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й дернового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процесів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грунтоутворення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умовах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лісового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покриву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Орні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землі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грунтами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становлять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6,3-7,3 %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ріллі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</w:p>
    <w:p w14:paraId="007C1DA1" w14:textId="77184680" w:rsidR="00235815" w:rsidRPr="001252D0" w:rsidRDefault="00235815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Мінерально-сировинні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41,6 %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охоплюють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паливноенергетичну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сировину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нафту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вільний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газ, конденсат,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кам’яне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буре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вугілля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торф), друге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належить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покладам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необхідні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будівельних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матеріалів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(34,9 %),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третє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покладам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прісних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мінеральних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підземних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вод (19,5 %),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решта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припадає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корисні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копалини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самородна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сірка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натрієва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магнієва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калійна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германій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, озокерит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загалом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4,0 %).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Родовища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паливноенергетичної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сировини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розташовані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нерівномірно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два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осередки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Найвища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щільність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припадає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райони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Червонограда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кам’яне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вугілля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Дрогобича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нафтогазові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).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наявно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родовищ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вільного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газу,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добувні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становлять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114,7 млрд м³, 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8,4 %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запасів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них три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родовища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Гаївське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Більче-Волицьке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Хідновицьке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видобутку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газу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5 %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видобутку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).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Всього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експлуатують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родовища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газу – метану,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видобуток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складає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0,94</w:t>
      </w:r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>млрд. м³</w:t>
      </w:r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. На сьогодні досліджено закономірності розподілу метану у кам’яновугільних відкладах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>Львівсько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-Волинського басейну та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>обгрунтовано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можливості його використання.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Загальні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метану в межах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басейну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оцінюють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в 10 млрд м3.</w:t>
      </w:r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0CA2" w:rsidRPr="001252D0">
        <w:rPr>
          <w:rFonts w:ascii="Times New Roman" w:hAnsi="Times New Roman" w:cs="Times New Roman"/>
          <w:sz w:val="24"/>
          <w:szCs w:val="24"/>
        </w:rPr>
        <w:t xml:space="preserve">Нафта у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Львівській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виявлена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у 19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родовищах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добувними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промисловими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покладами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220,0 млн. т,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становить 18,8 %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загальних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запасів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>.</w:t>
      </w:r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Газовий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конденсат на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Львівщині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представлений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вісьмома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родовищами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добувними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промисловими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покладами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2 млн. т,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становить 1,1 %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загальних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запасів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>.</w:t>
      </w:r>
    </w:p>
    <w:p w14:paraId="79558A0B" w14:textId="4FAA9A04" w:rsidR="008B0CA2" w:rsidRPr="001252D0" w:rsidRDefault="008B0CA2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Головними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річками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Дністер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Західний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Буг,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Бистриця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Стир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Вишня,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Рата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Солокія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цілому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ж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теренах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нараховують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8950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річок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рангів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сумарною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довжиною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16343 км,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них 242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річки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довжиною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10 км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кожна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протяжністю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5538 км. В межах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налічується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водосховищ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розташовані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басейнах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річок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Дністра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Західного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Бугу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Сяну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водного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дзеркала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становить 3448 га,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повна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ємкість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79,88 млн. м³.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водосховищ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Унятицьке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повна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ємність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8,29 млн.м³)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р.Бар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басейн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Дністра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Добротвірське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(14,65 млн.м³)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р.Зх.Буг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Завадівське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(8,8 млн. м³)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Малий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Гноянець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(14,0 млн.м³)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басейні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Сяну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запаси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поверхневого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підземного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стоку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становлять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загальнодержавних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ресурсів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об’ємом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місцевого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стоку – 4,92 млрд м3 – область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lastRenderedPageBreak/>
        <w:t>поступається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Закарпаттю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дещо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перевищує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Івано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Франківщину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набагато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випереджує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решту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5EE3661D" w14:textId="191D779A" w:rsidR="008B0CA2" w:rsidRPr="001252D0" w:rsidRDefault="008B0CA2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лісистість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становить 28 % (по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— 14,5 %).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лісового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фонду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складає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690 тис. га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8 %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вкритих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лісом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— 623 тис. га.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поділяються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першої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займають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271 тис. га (39 %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усієї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зелених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зон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міст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округів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санітарної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охорони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курортно-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рекреаційних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другої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займають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419 тис. га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60 % ).</w:t>
      </w:r>
    </w:p>
    <w:p w14:paraId="1A8215D5" w14:textId="6C56A97C" w:rsidR="0093264C" w:rsidRPr="001252D0" w:rsidRDefault="0093264C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створена широка мережа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рекреаційних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закладів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: 133 санаторно-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курортних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в </w:t>
      </w:r>
      <w:proofErr w:type="gramStart"/>
      <w:r w:rsidRPr="001252D0">
        <w:rPr>
          <w:rFonts w:ascii="Times New Roman" w:hAnsi="Times New Roman" w:cs="Times New Roman"/>
          <w:sz w:val="24"/>
          <w:szCs w:val="24"/>
        </w:rPr>
        <w:t>т.ч.</w:t>
      </w:r>
      <w:proofErr w:type="gram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базі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багатих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природно-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рекреаційних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ресурсів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: Великий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Любінь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Моршин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Немирів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Роздол,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Східниця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Трускавець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Шкло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82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готельного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господарства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приватних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садиб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займаються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сільським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туризмом.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Крім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бальнеологічних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природні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ландшафтні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водні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рекреаційні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особливий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інтерес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представляють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гірські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місцевості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придатні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гірськолижного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спорту,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Славське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прилеглими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населеними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пунктами, с.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Тисовець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Сколівського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району,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с.Розлуч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м.Турка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Турківського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району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Туристично-рекреаційний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потенціал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Сколівського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району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нараховує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86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відпочинкових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закладів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з них 70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діючих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приватних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агроосель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, 3 канатно-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крісельні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дороги, 27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бугельних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витяги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30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гірськолижних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трас, з них 8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затверджено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міжнародною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федерацією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спорту.</w:t>
      </w:r>
    </w:p>
    <w:p w14:paraId="53B0F873" w14:textId="3D03703B" w:rsidR="0093264C" w:rsidRPr="001252D0" w:rsidRDefault="0093264C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</w:rPr>
        <w:t xml:space="preserve">Область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різноманітність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ступінь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збереження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об‘єктів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архітектурно-містобудівної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спадщини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яка представлена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всіма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типами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будівель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широкого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хронологічного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періоду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Княжої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доби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XX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століття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Пам’ятки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архітектури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цінні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об’єкти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Всього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взято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охорону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3965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споруд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XII — XX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століть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25 %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усієї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в тому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числі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512 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-державного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Функціонує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державних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театрів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18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музеїв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об’єктів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(2313)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зосереджена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кількістю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різноманітністю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займає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перше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державі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внесений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рішенням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ЮНЕСКО до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переліку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найцінніших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міст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функціонують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історико-культурні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заповідники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пам’ятки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архітектури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історії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археології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мистецтва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музеї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театри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До них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сміливо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віднести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промислові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об’єкти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певну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цінність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закинуті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шахти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нафтовидобутку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солеваріння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гутного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). Створено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маршрут «Золота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підкова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»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lastRenderedPageBreak/>
        <w:t>збережених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архітектурних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пам’яток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Угневі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Золочеві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Старому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Свіржі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Підгірцях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Олеську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Жовкві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Крехові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</w:p>
    <w:p w14:paraId="47F569D0" w14:textId="4A7850CC" w:rsidR="00F61312" w:rsidRPr="001252D0" w:rsidRDefault="00F61312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Електропостачання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здійснюється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електростанцій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підстанцій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Західної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електроенергетичної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розташованих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як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так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зовнішніх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джерел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електроенергії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зв’язок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здійснюється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лінях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електропередачі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напругою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220-330-750кВ.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Енергосистема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з’єднана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магістральним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лініям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електропередачі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Південно-Західною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енергосистемою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Хмельницька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Вінницька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енергосистемами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Польщі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Угорщини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До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джерел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електропостачання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віднесені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Добротвірська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ТЕС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встановлена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600МВт),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ТЕЦ-1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встановлена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41,3МВт),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ТЕЦ-2,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Новороздільська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ТЕС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встановлена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11,75МВт),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Новояворівська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ТЕЦ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встановлена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25,4МВт), 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Бурштинська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ТЕС,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Хмельницька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АЕС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Рівненська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АЕС.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знаходяться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гідроелектрична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станція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встановленою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потужністю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0,45МВт –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Явірська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ГЕС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Трускавецька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вітроелектростанція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(ВЕС).</w:t>
      </w:r>
    </w:p>
    <w:p w14:paraId="285466AC" w14:textId="2C0AE7ED" w:rsidR="006A72DC" w:rsidRPr="001252D0" w:rsidRDefault="006A72DC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Сільське господарство області продовжує залишатись значним сегментом економіки, хоча його частка у ВДВ області постійно скорочується і сьогодні складає показник близький до середньо українського – 10% За обсягом сільськогосподарського виробництва Львівщина належить до групи областей із середнім розміром сільської економіки.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Зайнятість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сільськогосподарському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досить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обмеженою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тому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продуктивність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одного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працівника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досить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високою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сільськогосподарських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культур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1252D0">
        <w:rPr>
          <w:rFonts w:ascii="Times New Roman" w:hAnsi="Times New Roman" w:cs="Times New Roman"/>
          <w:sz w:val="24"/>
          <w:szCs w:val="24"/>
        </w:rPr>
        <w:t xml:space="preserve">р. становила: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зернових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культур – 1,7% (у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1252D0">
        <w:rPr>
          <w:rFonts w:ascii="Times New Roman" w:hAnsi="Times New Roman" w:cs="Times New Roman"/>
          <w:sz w:val="24"/>
          <w:szCs w:val="24"/>
        </w:rPr>
        <w:t xml:space="preserve">р. – 1,6%),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цукрових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буряків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3,6% (3,9%),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картоплі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7,5% (6,7%),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овочів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4,8% (5,1%),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фруктів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4,8% (5,2%). 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1252D0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продуктів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тваринництва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становила: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м’яса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5,5% (у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1252D0">
        <w:rPr>
          <w:rFonts w:ascii="Times New Roman" w:hAnsi="Times New Roman" w:cs="Times New Roman"/>
          <w:sz w:val="24"/>
          <w:szCs w:val="24"/>
        </w:rPr>
        <w:t xml:space="preserve"> – 5,6% ), молока – 5,7% (5,8%),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яєць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2,9% (3,4%).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структурі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тваринництва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вирощування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худоби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птиці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1252D0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склала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45,7%, молока – 45,1%,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яєць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7,2%.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структурі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сільськогосподарського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домінуючою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господарств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 73,2% (у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1252D0">
        <w:rPr>
          <w:rFonts w:ascii="Times New Roman" w:hAnsi="Times New Roman" w:cs="Times New Roman"/>
          <w:sz w:val="24"/>
          <w:szCs w:val="24"/>
        </w:rPr>
        <w:t xml:space="preserve">р. – 74,7%).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Господарствами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вироблено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71,8%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рослинництва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75,3% –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тваринництва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суттєво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вирізняє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господарство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більшості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структурі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с/г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домінує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рослинництво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хоча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настільки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загалом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структура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рослинництва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тут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принципово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</w:p>
    <w:p w14:paraId="0576C5FA" w14:textId="28EF6101" w:rsidR="00084987" w:rsidRPr="001252D0" w:rsidRDefault="00084987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lastRenderedPageBreak/>
        <w:t>Львівська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забезпечена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розвиненою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мережею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комунікацій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ділянки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проходять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напрямками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міжнародних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європейських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доріг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сприяють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пропуску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транзитних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потоків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обумовлює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стратегічне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економіки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обслуговує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достатньо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розвинутий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комплекс,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найпотужнішим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заході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Інфраструктура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транспортного комплексу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споруд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обладнання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зовнішнього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транспорту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залізничного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автомобільного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повітряного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мережі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зовнішніх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артерій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внутрішньоміської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населених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пунктів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Залізничний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автомобільний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повітряний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транспорту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вантажні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пасажирські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перевезення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видах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сполучення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міжнародні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міжрегіональні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внутрішньорегіональні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розгалужену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мережу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автомобільних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доріг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(державного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місцевого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яка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вантажні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пасажирські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потоки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внутрішньодержавні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транзитні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потоки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Європи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внутрішньообласні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Територією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проходять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ділянки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автомобільних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коридорів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навантажені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переважно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потоками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Центральної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Європи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(коридор №3)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Південної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Європи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(коридор №5).</w:t>
      </w:r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Львівський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регіон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розвивається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спільно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польською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частиною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єдина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просторова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структура і є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провідником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інтеграції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нашої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європейської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спільноти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потреб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співробітництва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Польщею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у межах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українськопольського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кордону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працює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мережа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пунктів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пропуску.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Головним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транспортним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вузлом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є м.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Львів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через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проходять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міжнародні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залізничні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автомобільні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магістралі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зосереджені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об’єкти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видів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транспорту по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обслуговуванню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перевезень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пасажирів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вантажів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видах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сполучення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автодороги та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залізниці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проходять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паралельно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одними коридорами,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одного боку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створює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конкуренцію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перевезень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іншого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боку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існують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малою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кількістю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доріг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населенні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пункти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слабо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зв‘язані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рештою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Завдяки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пожвавленню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упродовж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останніх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економічних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процесів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державі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вжитим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заходам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перебудови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транспортної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галузі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забезпечено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стабілізацію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поступове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зростання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економічних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показників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народного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господарства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в тому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числі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транспортного комплексу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зростає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об’єм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транзитних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перевезень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нарощуються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поступово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обсяги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перевезень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вантажів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пасажирів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Міжнародний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аеропорт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Львів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Данила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Галицького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найбільше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летовище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Західній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пасажиропотоком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та маршрутною мережею,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розташоване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відстані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6 км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центру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міста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південь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Аеропорт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регіональний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lastRenderedPageBreak/>
        <w:t>стратегічний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міжнародного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4 «Д».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Аеропорт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штучну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злітно-посадкову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смугу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№1 (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довжиною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2513м і шириною 45м,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перон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на 39 стоянок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повітряних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суден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типів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класів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руліжні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доріжки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). Станом на 2013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рік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маршрутна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мережа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аеропорту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27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напрямків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(24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міжнародні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та 3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внутрішні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>).</w:t>
      </w:r>
    </w:p>
    <w:p w14:paraId="02693005" w14:textId="357082DB" w:rsidR="001C498A" w:rsidRPr="00FF26C9" w:rsidRDefault="001C498A" w:rsidP="001C49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Вигідне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транзитне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розташування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безпосередньому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сусідстві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Європейським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Союзом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спричинило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 того,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- один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лідерів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залучення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іноземних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Щороку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зростає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великих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транснаціональних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компаній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розпочинають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тут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успішні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проекти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сьогодні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динамічно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нарощує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свій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потенціал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партнерстві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приватного сектору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робляться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важливі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кроки для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поліпшення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зростання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надходження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прямих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іноземних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економіку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прямих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іноземних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початку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інвестування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1 липня 2017 року становив 1161.5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млн.дол.США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Лідерами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інвестуванні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підприємств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Польща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379.8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млн.дол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., 32.7%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Австрія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- 121 .3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млн.дол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10.5%,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Кіпр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145.2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млн.дол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12.5%.</w:t>
      </w:r>
      <w:r w:rsidR="00FF26C9">
        <w:rPr>
          <w:rFonts w:ascii="Times New Roman" w:hAnsi="Times New Roman" w:cs="Times New Roman"/>
          <w:sz w:val="24"/>
          <w:szCs w:val="24"/>
          <w:lang w:val="en-GB"/>
        </w:rPr>
        <w:t>[1</w:t>
      </w:r>
      <w:bookmarkStart w:id="0" w:name="_GoBack"/>
      <w:bookmarkEnd w:id="0"/>
      <w:r w:rsidR="00FF26C9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6F4B922B" w14:textId="315B0832" w:rsidR="001C498A" w:rsidRPr="001252D0" w:rsidRDefault="001252D0" w:rsidP="001C49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Спеціалізацією Львівської області є харчова промисловість (38%), машинобудування (10%), хімічна та нафтохімічна промисловість (7%),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металообробка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електроенергетика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Машинобудування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спеціалізується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електротехнічного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електронного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обладнання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радіо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- і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телевізійних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приладів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зв’язку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Окремі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автобуси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трамваї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тролейбуси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нового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покоління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користуються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попитом як на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внутрішньому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так і на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зовнішньому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ринках.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Галузь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харчових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продуктів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напоїв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тютюнових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виробів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на яку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припадає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30 %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промислової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є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багатогранною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об’єднує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підгалузей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Високими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темпами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нарощуються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обсяги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хімічній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нафтохімічній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промисловості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Щороку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зростають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обсяги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легкій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промисловості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Більшість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цієї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галузі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припадає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підприємства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третина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- на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підприємства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ґрунтування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дублення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Найбільшого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останні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роки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набуло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деревини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виробів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неї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>.</w:t>
      </w:r>
    </w:p>
    <w:p w14:paraId="6E512D25" w14:textId="3B3DC7DF" w:rsidR="001C498A" w:rsidRPr="001252D0" w:rsidRDefault="001C498A" w:rsidP="001C49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товарів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Львівщина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експортувала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упродовж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2007-2016 року,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переважали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електротехнічне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обладнання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частини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меблі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(10,3%), деревина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вироби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неї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(10,0%). Основу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імпорту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товарів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становили: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електротехнічне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механічне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обладнання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пластмаси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полімерні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матеріали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48F2AC" w14:textId="2170A282" w:rsidR="00024B3A" w:rsidRPr="00FF26C9" w:rsidRDefault="00024B3A" w:rsidP="001C49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lastRenderedPageBreak/>
        <w:t>Загальні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тенденції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погіршення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соціально-економічного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r w:rsidR="00AC7AC2" w:rsidRPr="001252D0"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почалися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кінці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2008 року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продовжилися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2009 р.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негативних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змін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зазнали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показники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активності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імпорту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2009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році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скоротився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удвічі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 На 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1252D0">
        <w:rPr>
          <w:rFonts w:ascii="Times New Roman" w:hAnsi="Times New Roman" w:cs="Times New Roman"/>
          <w:sz w:val="24"/>
          <w:szCs w:val="24"/>
        </w:rPr>
        <w:t>-2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1252D0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скоротилися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торгівлі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вантажообіг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індекс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промислового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впав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25%.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Однак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починаючи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2010 року,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зазначаються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окремі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тенденції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покращення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ситуації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ріст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сферах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промислового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(на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1252D0">
        <w:rPr>
          <w:rFonts w:ascii="Times New Roman" w:hAnsi="Times New Roman" w:cs="Times New Roman"/>
          <w:sz w:val="24"/>
          <w:szCs w:val="24"/>
        </w:rPr>
        <w:t>,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1252D0">
        <w:rPr>
          <w:rFonts w:ascii="Times New Roman" w:hAnsi="Times New Roman" w:cs="Times New Roman"/>
          <w:sz w:val="24"/>
          <w:szCs w:val="24"/>
        </w:rPr>
        <w:t>% за перше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півріччя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2010 року),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вантажообігу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(на 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1252D0">
        <w:rPr>
          <w:rFonts w:ascii="Times New Roman" w:hAnsi="Times New Roman" w:cs="Times New Roman"/>
          <w:sz w:val="24"/>
          <w:szCs w:val="24"/>
        </w:rPr>
        <w:t>,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1252D0">
        <w:rPr>
          <w:rFonts w:ascii="Times New Roman" w:hAnsi="Times New Roman" w:cs="Times New Roman"/>
          <w:sz w:val="24"/>
          <w:szCs w:val="24"/>
        </w:rPr>
        <w:t>%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роздрібної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торгівлі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(на 1,8%)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залишається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негативною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ситуація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навколо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функціонування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самих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підприємств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зберігається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їхня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збитковість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збитки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склали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230</w:t>
      </w:r>
      <w:r w:rsidRPr="001252D0">
        <w:rPr>
          <w:rFonts w:ascii="Times New Roman" w:hAnsi="Times New Roman" w:cs="Times New Roman"/>
          <w:sz w:val="24"/>
          <w:szCs w:val="24"/>
        </w:rPr>
        <w:t xml:space="preserve"> млн.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грн. у 2009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році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226,2 млн. грн.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перше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півріччя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2010 року).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стан справ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потребує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швидкої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реакції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остаточно не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підірвати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сформований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останнє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десятиліття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регіональний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ринок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  <w:r w:rsidR="00FF26C9" w:rsidRPr="00FF26C9">
        <w:rPr>
          <w:rFonts w:ascii="Times New Roman" w:hAnsi="Times New Roman" w:cs="Times New Roman"/>
          <w:sz w:val="24"/>
          <w:szCs w:val="24"/>
        </w:rPr>
        <w:t>[2]</w:t>
      </w:r>
    </w:p>
    <w:p w14:paraId="03535241" w14:textId="6014245F" w:rsidR="00024B3A" w:rsidRPr="001252D0" w:rsidRDefault="00024B3A" w:rsidP="00AC7A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Детальне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факторів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привабливості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lang w:val="uk-UA"/>
        </w:rPr>
        <w:t>Львівс</w:t>
      </w:r>
      <w:r w:rsidRPr="001252D0">
        <w:rPr>
          <w:rFonts w:ascii="Times New Roman" w:hAnsi="Times New Roman" w:cs="Times New Roman"/>
          <w:sz w:val="24"/>
          <w:szCs w:val="24"/>
        </w:rPr>
        <w:t>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областідозволило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виділити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проблемні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сторони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сторін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Львівської</w:t>
      </w:r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виділити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трудовий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потенціал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 кордону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та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достатню кількість природних</w:t>
      </w:r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позитивний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вплив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сторін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мірою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нівелюється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внаслідок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високого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забюрократизованості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органів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даною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слабкою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стороною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експерти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вказують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загрози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залежність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обмеженої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потужних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підприємств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Базуючись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аналізі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статистичної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беручи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уваги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стратегію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збільшення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інвестиційної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привабливості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здійснювати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кроки за такими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напрямками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посилення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транскордонного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співробітництва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; 2)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туристично-рекреаційної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сфери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; 3)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господарства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; 4)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покращення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органів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; 5)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збільшення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залучення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прямих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іноземних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</w:p>
    <w:sectPr w:rsidR="00024B3A" w:rsidRPr="001252D0" w:rsidSect="00F11898">
      <w:footerReference w:type="default" r:id="rId37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698C6" w14:textId="77777777" w:rsidR="00455938" w:rsidRDefault="00455938" w:rsidP="00F11898">
      <w:pPr>
        <w:spacing w:after="0" w:line="240" w:lineRule="auto"/>
      </w:pPr>
      <w:r>
        <w:separator/>
      </w:r>
    </w:p>
  </w:endnote>
  <w:endnote w:type="continuationSeparator" w:id="0">
    <w:p w14:paraId="7A663634" w14:textId="77777777" w:rsidR="00455938" w:rsidRDefault="00455938" w:rsidP="00F1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6261721"/>
      <w:docPartObj>
        <w:docPartGallery w:val="Page Numbers (Bottom of Page)"/>
        <w:docPartUnique/>
      </w:docPartObj>
    </w:sdtPr>
    <w:sdtEndPr/>
    <w:sdtContent>
      <w:p w14:paraId="17321D12" w14:textId="13C46485" w:rsidR="00F11898" w:rsidRDefault="00F118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8C1D595" w14:textId="77777777" w:rsidR="00F11898" w:rsidRDefault="00F118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5DA1" w14:textId="77777777" w:rsidR="00455938" w:rsidRDefault="00455938" w:rsidP="00F11898">
      <w:pPr>
        <w:spacing w:after="0" w:line="240" w:lineRule="auto"/>
      </w:pPr>
      <w:r>
        <w:separator/>
      </w:r>
    </w:p>
  </w:footnote>
  <w:footnote w:type="continuationSeparator" w:id="0">
    <w:p w14:paraId="6D7AF478" w14:textId="77777777" w:rsidR="00455938" w:rsidRDefault="00455938" w:rsidP="00F11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49"/>
    <w:rsid w:val="00024B3A"/>
    <w:rsid w:val="00084987"/>
    <w:rsid w:val="001252D0"/>
    <w:rsid w:val="001C498A"/>
    <w:rsid w:val="00235815"/>
    <w:rsid w:val="00455938"/>
    <w:rsid w:val="004872E5"/>
    <w:rsid w:val="005B78C8"/>
    <w:rsid w:val="00646454"/>
    <w:rsid w:val="006A72DC"/>
    <w:rsid w:val="007F6FE2"/>
    <w:rsid w:val="008B0CA2"/>
    <w:rsid w:val="0093264C"/>
    <w:rsid w:val="00936F3E"/>
    <w:rsid w:val="00AA5049"/>
    <w:rsid w:val="00AC7AC2"/>
    <w:rsid w:val="00E92234"/>
    <w:rsid w:val="00F0427E"/>
    <w:rsid w:val="00F11898"/>
    <w:rsid w:val="00F61312"/>
    <w:rsid w:val="00FF26C9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9D27"/>
  <w15:chartTrackingRefBased/>
  <w15:docId w15:val="{1EFDC19E-04C8-428C-8C67-E873CE55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F6FE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118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11898"/>
  </w:style>
  <w:style w:type="paragraph" w:styleId="a7">
    <w:name w:val="footer"/>
    <w:basedOn w:val="a"/>
    <w:link w:val="a8"/>
    <w:uiPriority w:val="99"/>
    <w:unhideWhenUsed/>
    <w:rsid w:val="00F118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11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F%D0%B5%D1%80%D0%B5%D0%B4%D0%BA%D0%B0%D1%80%D0%BF%D0%B0%D1%82%D1%81%D1%8C%D0%BA%D0%B8%D0%B9_%D1%81%D1%96%D1%80%D0%BA%D0%BE%D0%BD%D0%BE%D1%81%D0%BD%D0%B8%D0%B9_%D0%B1%D0%B0%D1%81%D0%B5%D0%B9%D0%BD" TargetMode="External"/><Relationship Id="rId18" Type="http://schemas.openxmlformats.org/officeDocument/2006/relationships/hyperlink" Target="https://uk.wikipedia.org/wiki/%D0%9C%D0%BE%D1%80%D1%88%D0%B8%D0%BD" TargetMode="External"/><Relationship Id="rId26" Type="http://schemas.openxmlformats.org/officeDocument/2006/relationships/hyperlink" Target="https://uk.wikipedia.org/wiki/%D0%A3%D0%BA%D1%80%D0%B0%D1%97%D0%BD%D0%B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uk.wikipedia.org/wiki/%D0%90%D1%80%D1%85%D1%96%D1%82%D0%B5%D0%BA%D1%82%D1%83%D1%80%D0%BD%D1%96_%D0%BF%D0%B0%D0%BC%27%D1%8F%D1%82%D0%BA%D0%B8_%D0%96%D0%BE%D0%B2%D0%BA%D0%B2%D0%B8" TargetMode="External"/><Relationship Id="rId34" Type="http://schemas.openxmlformats.org/officeDocument/2006/relationships/hyperlink" Target="https://uk.wikipedia.org/wiki/%D0%94%D0%BD%D1%96%D1%81%D1%82%D0%B5%D1%80" TargetMode="External"/><Relationship Id="rId7" Type="http://schemas.openxmlformats.org/officeDocument/2006/relationships/hyperlink" Target="https://uk.wikipedia.org/wiki/%D0%A3%D0%BA%D1%80%D0%B0%D1%97%D0%BD%D0%B0" TargetMode="External"/><Relationship Id="rId12" Type="http://schemas.openxmlformats.org/officeDocument/2006/relationships/hyperlink" Target="https://uk.wikipedia.org/wiki/%D0%9F%D0%B5%D1%80%D0%B5%D0%B4%D0%BA%D0%B0%D1%80%D0%BF%D0%B0%D1%82%D1%81%D1%8C%D0%BA%D0%B0_%D0%BD%D0%B0%D1%84%D1%82%D0%BE%D0%B3%D0%B0%D0%B7%D0%BE%D0%BD%D0%BE%D1%81%D0%BD%D0%B0_%D0%BE%D0%B1%D0%BB%D0%B0%D1%81%D1%82%D1%8C" TargetMode="External"/><Relationship Id="rId17" Type="http://schemas.openxmlformats.org/officeDocument/2006/relationships/hyperlink" Target="https://uk.wikipedia.org/wiki/%D0%A2%D1%80%D1%83%D1%81%D0%BA%D0%B0%D0%B2%D0%B5%D1%86%D1%8C" TargetMode="External"/><Relationship Id="rId25" Type="http://schemas.openxmlformats.org/officeDocument/2006/relationships/hyperlink" Target="https://uk.wikipedia.org/wiki/%D0%9B%D1%96%D1%81%D0%B8" TargetMode="External"/><Relationship Id="rId33" Type="http://schemas.openxmlformats.org/officeDocument/2006/relationships/hyperlink" Target="https://uk.wikipedia.org/wiki/%D0%9F%D0%BE%D0%B4%D1%96%D0%BB%D1%8C%D1%81%D1%8C%D0%BA%D0%B0_%D0%B2%D0%B8%D1%81%D0%BE%D1%87%D0%B8%D0%BD%D0%B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4%D1%80%D0%BE%D0%B3%D0%BE%D0%B1%D0%B8%D1%86%D1%8C%D0%BA%D0%B0_%D0%B0%D0%B3%D0%BB%D0%BE%D0%BC%D0%B5%D1%80%D0%B0%D1%86%D1%96%D1%8F" TargetMode="External"/><Relationship Id="rId20" Type="http://schemas.openxmlformats.org/officeDocument/2006/relationships/hyperlink" Target="https://uk.wikipedia.org/wiki/%D0%86%D1%81%D1%82%D0%BE%D1%80%D0%B8%D1%87%D0%BD%D0%B8%D0%B9_%D1%86%D0%B5%D0%BD%D1%82%D1%80_%D0%9B%D1%8C%D0%B2%D0%BE%D0%B2%D0%B0" TargetMode="External"/><Relationship Id="rId29" Type="http://schemas.openxmlformats.org/officeDocument/2006/relationships/hyperlink" Target="https://uk.wikipedia.org/wiki/%D0%A3%D0%B3%D0%BE%D1%80%D1%89%D0%B8%D0%BD%D0%B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B%D1%8C%D0%B2%D1%96%D0%B2%D1%81%D1%8C%D0%BA%D0%BE-%D0%92%D0%BE%D0%BB%D0%B8%D0%BD%D1%81%D1%8C%D0%BA%D0%B8%D0%B9_%D0%B2%D1%83%D0%B3%D1%96%D0%BB%D1%8C%D0%BD%D0%B8%D0%B9_%D0%B1%D0%B0%D1%81%D0%B5%D0%B9%D0%BD" TargetMode="External"/><Relationship Id="rId24" Type="http://schemas.openxmlformats.org/officeDocument/2006/relationships/hyperlink" Target="https://uk.wikipedia.org/wiki/%D0%9A%D0%B0%D1%80%D0%BF%D0%B0%D1%82%D0%B8" TargetMode="External"/><Relationship Id="rId32" Type="http://schemas.openxmlformats.org/officeDocument/2006/relationships/hyperlink" Target="https://uk.wikipedia.org/wiki/%D0%9C%D0%B0%D0%BB%D0%B5_%D0%9F%D0%BE%D0%BB%D1%96%D1%81%D1%81%D1%8F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B%D1%8C%D0%B2%D1%96%D0%B2%D1%81%D1%8C%D0%BA%D0%B0_%D0%B0%D0%B3%D0%BB%D0%BE%D0%BC%D0%B5%D1%80%D0%B0%D1%86%D1%96%D1%8F" TargetMode="External"/><Relationship Id="rId23" Type="http://schemas.openxmlformats.org/officeDocument/2006/relationships/hyperlink" Target="https://uk.wikipedia.org/wiki/%D0%9B%D1%96%D1%81%D0%BE%D1%81%D1%82%D0%B5%D0%BF%D0%BE%D0%B2%D0%B0_%D0%B7%D0%BE%D0%BD%D0%B0_%D0%A3%D0%BA%D1%80%D0%B0%D1%97%D0%BD%D0%B8" TargetMode="External"/><Relationship Id="rId28" Type="http://schemas.openxmlformats.org/officeDocument/2006/relationships/hyperlink" Target="https://uk.wikipedia.org/wiki/%D0%A1%D0%BB%D0%BE%D0%B2%D0%B0%D1%87%D1%87%D0%B8%D0%BD%D0%B0" TargetMode="External"/><Relationship Id="rId36" Type="http://schemas.openxmlformats.org/officeDocument/2006/relationships/hyperlink" Target="https://uk.wikipedia.org/wiki/%D0%9A%D0%B0%D1%80%D0%BF%D0%B0%D1%82%D0%B8" TargetMode="External"/><Relationship Id="rId10" Type="http://schemas.openxmlformats.org/officeDocument/2006/relationships/hyperlink" Target="https://uk.wikipedia.org/wiki/%D0%93%D0%BE%D0%BB%D0%BE%D0%B2%D0%BD%D0%B8%D0%B9_%D1%94%D0%B2%D1%80%D0%BE%D0%BF%D0%B5%D0%B9%D1%81%D1%8C%D0%BA%D0%B8%D0%B9_%D0%B2%D0%BE%D0%B4%D0%BE%D0%B4%D1%96%D0%BB" TargetMode="External"/><Relationship Id="rId19" Type="http://schemas.openxmlformats.org/officeDocument/2006/relationships/hyperlink" Target="https://uk.wikipedia.org/wiki/%D0%A1%D1%85%D1%96%D0%B4%D0%BD%D0%B8%D1%86%D1%8F" TargetMode="External"/><Relationship Id="rId31" Type="http://schemas.openxmlformats.org/officeDocument/2006/relationships/hyperlink" Target="https://uk.wikipedia.org/wiki/%D0%92%D0%BE%D0%BB%D0%B8%D0%BD%D1%81%D1%8C%D0%BA%D0%B0_%D0%B2%D0%B8%D1%81%D0%BE%D1%87%D0%B8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0%BE%D0%BB%D1%8C%D1%89%D0%B0" TargetMode="External"/><Relationship Id="rId14" Type="http://schemas.openxmlformats.org/officeDocument/2006/relationships/hyperlink" Target="https://uk.wikipedia.org/wiki/%D0%A7%D0%B5%D1%80%D0%B2%D0%BE%D0%BD%D0%BE%D0%B3%D1%80%D0%B0%D0%B4%D1%81%D1%8C%D0%BA%D0%B0_%D0%B0%D0%B3%D0%BB%D0%BE%D0%BC%D0%B5%D1%80%D0%B0%D1%86%D1%96%D1%8F" TargetMode="External"/><Relationship Id="rId22" Type="http://schemas.openxmlformats.org/officeDocument/2006/relationships/hyperlink" Target="https://uk.wikipedia.org/wiki/%D0%9A%D0%B0%D1%80%D0%BF%D0%B0%D1%82%D1%81%D1%8C%D0%BA%D1%96_%D0%B3%D0%BE%D1%80%D0%B8" TargetMode="External"/><Relationship Id="rId27" Type="http://schemas.openxmlformats.org/officeDocument/2006/relationships/hyperlink" Target="https://uk.wikipedia.org/wiki/%D0%9F%D0%BE%D0%BB%D1%8C%D1%89%D0%B0" TargetMode="External"/><Relationship Id="rId30" Type="http://schemas.openxmlformats.org/officeDocument/2006/relationships/hyperlink" Target="https://uk.wikipedia.org/wiki/%D0%A0%D1%83%D0%BC%D1%83%D0%BD%D1%96%D1%8F" TargetMode="External"/><Relationship Id="rId35" Type="http://schemas.openxmlformats.org/officeDocument/2006/relationships/hyperlink" Target="https://uk.wikipedia.org/wiki/%D0%9F%D0%B5%D1%80%D0%B5%D0%B4%D0%BA%D0%B0%D1%80%D0%BF%D0%B0%D1%82%D1%82%D1%8F" TargetMode="External"/><Relationship Id="rId8" Type="http://schemas.openxmlformats.org/officeDocument/2006/relationships/hyperlink" Target="https://uk.wikipedia.org/wiki/%D0%94%D0%B5%D1%80%D0%B6%D0%B0%D0%B2%D0%BD%D0%B8%D0%B9_%D0%BA%D0%BE%D1%80%D0%B4%D0%BE%D0%BD_%D0%A3%D0%BA%D1%80%D0%B0%D1%97%D0%BD%D0%B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72C25-722F-41E2-AC16-4F76FDE2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14058</Words>
  <Characters>8014</Characters>
  <Application>Microsoft Office Word</Application>
  <DocSecurity>0</DocSecurity>
  <Lines>66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5</cp:revision>
  <dcterms:created xsi:type="dcterms:W3CDTF">2019-03-10T16:30:00Z</dcterms:created>
  <dcterms:modified xsi:type="dcterms:W3CDTF">2019-05-11T08:23:00Z</dcterms:modified>
</cp:coreProperties>
</file>