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2DE61" w14:textId="29F062C9" w:rsidR="00711CCB" w:rsidRPr="00F2369D" w:rsidRDefault="00711CCB" w:rsidP="00711CCB">
      <w:pPr>
        <w:pStyle w:val="a3"/>
        <w:spacing w:before="0" w:beforeAutospacing="0" w:after="0" w:afterAutospacing="0" w:line="360" w:lineRule="auto"/>
        <w:ind w:left="-567" w:right="-613" w:firstLine="495"/>
        <w:jc w:val="center"/>
        <w:rPr>
          <w:b/>
          <w:bCs/>
          <w:color w:val="000000"/>
          <w:sz w:val="28"/>
          <w:szCs w:val="28"/>
          <w:lang w:val="uk-UA"/>
        </w:rPr>
      </w:pPr>
      <w:r w:rsidRPr="00F2369D">
        <w:rPr>
          <w:b/>
          <w:sz w:val="28"/>
          <w:szCs w:val="28"/>
          <w:lang w:val="uk-UA"/>
        </w:rPr>
        <w:t xml:space="preserve">Завдання </w:t>
      </w:r>
      <w:r>
        <w:rPr>
          <w:b/>
          <w:sz w:val="28"/>
          <w:szCs w:val="28"/>
          <w:lang w:val="uk-UA"/>
        </w:rPr>
        <w:t>7</w:t>
      </w:r>
      <w:r w:rsidRPr="00F2369D">
        <w:rPr>
          <w:b/>
          <w:sz w:val="28"/>
          <w:szCs w:val="28"/>
          <w:lang w:val="uk-UA"/>
        </w:rPr>
        <w:t xml:space="preserve">. </w:t>
      </w:r>
      <w:proofErr w:type="spellStart"/>
      <w:r>
        <w:rPr>
          <w:b/>
          <w:bCs/>
          <w:color w:val="000000"/>
          <w:sz w:val="28"/>
          <w:szCs w:val="28"/>
        </w:rPr>
        <w:t>Дослідження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динаміки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</w:rPr>
        <w:t>інвестицій</w:t>
      </w:r>
      <w:proofErr w:type="spellEnd"/>
    </w:p>
    <w:p w14:paraId="51EB7A57" w14:textId="4988B52A" w:rsidR="00711CCB" w:rsidRDefault="00711CCB" w:rsidP="00711CCB">
      <w:pPr>
        <w:shd w:val="clear" w:color="auto" w:fill="FFFFFF"/>
        <w:spacing w:after="0" w:line="360" w:lineRule="auto"/>
        <w:ind w:left="-567" w:right="-613" w:firstLine="49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Інвестиції відіграють ключову роль у розвитку економічних процесів. В умовах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започаткування структурної перебудови економіки України дуже гостро постала проблема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залучення значних інвестицій для розширення та відтворення основних фондів і виробничих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потужностей</w:t>
      </w:r>
      <w:proofErr w:type="spellEnd"/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господарства, розвитку економіки й істотного підвищення її ефективності.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1C9AEC78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49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0DFDF66A" w14:textId="77777777" w:rsidR="00711CCB" w:rsidRPr="00711CCB" w:rsidRDefault="00711CCB" w:rsidP="00711CCB">
      <w:pPr>
        <w:spacing w:after="0" w:line="36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1CCB">
        <w:rPr>
          <w:rFonts w:ascii="Times New Roman" w:hAnsi="Times New Roman" w:cs="Times New Roman"/>
          <w:sz w:val="24"/>
          <w:szCs w:val="24"/>
          <w:lang w:val="uk-UA"/>
        </w:rPr>
        <w:t>Форми інвестицій:</w:t>
      </w:r>
    </w:p>
    <w:p w14:paraId="62E30AE9" w14:textId="7C204CBE" w:rsidR="00711CCB" w:rsidRPr="00711CCB" w:rsidRDefault="00711CCB" w:rsidP="00711CCB">
      <w:pPr>
        <w:pStyle w:val="a4"/>
        <w:numPr>
          <w:ilvl w:val="0"/>
          <w:numId w:val="1"/>
        </w:numPr>
        <w:spacing w:after="0" w:line="360" w:lineRule="auto"/>
        <w:ind w:left="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11CCB">
        <w:rPr>
          <w:rFonts w:ascii="Times New Roman" w:hAnsi="Times New Roman" w:cs="Times New Roman"/>
          <w:sz w:val="24"/>
          <w:szCs w:val="24"/>
        </w:rPr>
        <w:t>За об'єктами вкладень розрізняють реальні та фінансові інвестиції. Під реальними інвестиціями розуміють вкладення коштів у реальні активи: як матеріальні, так і нематеріальні (інноваційні інвестиції). Під фінансовими інвестиціями розуміють вкладення коштів у різні фінансові активи, серед яких найзначнішу частку посідають вкладення у цінні папери.</w:t>
      </w:r>
    </w:p>
    <w:p w14:paraId="3B2674A5" w14:textId="23493BBF" w:rsidR="00711CCB" w:rsidRPr="00711CCB" w:rsidRDefault="00711CCB" w:rsidP="00711CCB">
      <w:pPr>
        <w:pStyle w:val="a4"/>
        <w:numPr>
          <w:ilvl w:val="0"/>
          <w:numId w:val="1"/>
        </w:numPr>
        <w:spacing w:after="0" w:line="360" w:lineRule="auto"/>
        <w:ind w:left="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11CCB">
        <w:rPr>
          <w:rFonts w:ascii="Times New Roman" w:hAnsi="Times New Roman" w:cs="Times New Roman"/>
          <w:sz w:val="24"/>
          <w:szCs w:val="24"/>
        </w:rPr>
        <w:t>За характером участі в інвестуванні розрізняють прямі і непрямі інвестиції. Під прямими інвестиціями розуміється безпосереднє вкладення коштів інвестором в об'єкти інвестування. Під непрямими інвестиціями розуміється інвестування, опосередковане іншими особами (інвестиційними або фінансовими посередниками).</w:t>
      </w:r>
    </w:p>
    <w:p w14:paraId="4D55BC47" w14:textId="51D3A9BF" w:rsidR="00711CCB" w:rsidRPr="00711CCB" w:rsidRDefault="00711CCB" w:rsidP="00711CCB">
      <w:pPr>
        <w:pStyle w:val="a4"/>
        <w:numPr>
          <w:ilvl w:val="0"/>
          <w:numId w:val="1"/>
        </w:numPr>
        <w:spacing w:after="0" w:line="360" w:lineRule="auto"/>
        <w:ind w:left="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11CCB">
        <w:rPr>
          <w:rFonts w:ascii="Times New Roman" w:hAnsi="Times New Roman" w:cs="Times New Roman"/>
          <w:sz w:val="24"/>
          <w:szCs w:val="24"/>
        </w:rPr>
        <w:t>За періодом інвестування розрізняють короткострокові та довгострокові інвестиції. За формами власності інвесторів розрізняють інвестиції приватні (акціонерні), державні, іноземні та спільні.</w:t>
      </w:r>
    </w:p>
    <w:p w14:paraId="6D24BD91" w14:textId="3B9B2289" w:rsidR="00711CCB" w:rsidRPr="00711CCB" w:rsidRDefault="00711CCB" w:rsidP="00711CCB">
      <w:pPr>
        <w:pStyle w:val="a4"/>
        <w:numPr>
          <w:ilvl w:val="0"/>
          <w:numId w:val="1"/>
        </w:numPr>
        <w:spacing w:after="0" w:line="360" w:lineRule="auto"/>
        <w:ind w:left="284" w:right="-613"/>
        <w:jc w:val="both"/>
        <w:rPr>
          <w:rFonts w:ascii="Times New Roman" w:hAnsi="Times New Roman" w:cs="Times New Roman"/>
          <w:sz w:val="24"/>
          <w:szCs w:val="24"/>
        </w:rPr>
      </w:pPr>
      <w:r w:rsidRPr="00711CCB">
        <w:rPr>
          <w:rFonts w:ascii="Times New Roman" w:hAnsi="Times New Roman" w:cs="Times New Roman"/>
          <w:sz w:val="24"/>
          <w:szCs w:val="24"/>
        </w:rPr>
        <w:t xml:space="preserve">За регіональною ознакою розрізняють внутрішньодержавні та закордонні інвестиції. </w:t>
      </w:r>
    </w:p>
    <w:p w14:paraId="0433B065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49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1865E889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В Україні на сучасному етапі розвитку економіки неодмінна умова ефективності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інвестиційної діяльності — відродження фінансово-кредитного та інвестиційного ринків.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Економічного підсилення й активності інвестиційної діяльності можна досягти тільки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створенням ринку капіталів. Для виконання цього багатопланового завдання, розрахованого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на короткий і довгостроковий періоди, потрібно розв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’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язати проблему розвитку ринку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акціонерних капіталів і державних цінних паперів. Останнього можна досягти заохоченням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надходжень та інвестицій, а також коштів від приватизації.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055914B9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На загальнодержавному рівні характер економічного розвитку відображає динаміку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показника чистих інвестицій. Якщо сума чистих інвестицій за певний період становить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негативну величину, це свідчить про те, що виробничий потенціал держави падає, знижується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обсяг випуску продукції в державі. Якщо сума чистих інвестицій нульова, виходить, що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виробничий потенціал держави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lastRenderedPageBreak/>
        <w:t>залишається незмінним. Позитивна величина чистих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інвестицій означає, що економіка перебуває в стадії розвитку, тому що забезпечується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розширене відтворення її виробничого потенціалу.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5D7305A6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Взаємозв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’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язок інвестицій та економічних процесів на макроекономічному рівні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(державному і регіональному) має двосторонній характер. З одного боку, формування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інвестиційних ресурсів відбувається залежно від показників економічної активності в країні, а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з іншого — розподіл інвестицій забезпечує зміни в стані економіки країни, а також у розвитку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екологічних і соціальних процесів.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16AAB8E2" w14:textId="77777777" w:rsidR="00711CCB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Інвестиції активізують ринкову конкуренцію, що є одним з факторів, які сприяють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зменшенню загального рівня виробничих витрат на ринках окремих видів продукції. Поява на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ринку нової конкурентоздатної продукції потребує й від інших підприємств здійснення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технологічних та організаційних нововведень.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</w:p>
    <w:p w14:paraId="63B54E0B" w14:textId="0C5EAE20" w:rsidR="00711CCB" w:rsidRPr="00BE5C3D" w:rsidRDefault="00711CCB" w:rsidP="00711CCB">
      <w:pPr>
        <w:shd w:val="clear" w:color="auto" w:fill="FFFFFF"/>
        <w:spacing w:after="0" w:line="360" w:lineRule="auto"/>
        <w:ind w:left="-567" w:right="-613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Позитивний вплив на платіжний баланс як результат здійснення інвестицій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проявляється в таких формах: збільшення експорту (збільшення поставок продукції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вітчизняного виробника на зовнішній ринок), економія імпорту (надходження іноземних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інвестицій у вигляді устаткування й сировини), заміщення імпорту (інвестування галузей, у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яких обсяг виробництва невеликий і попит задовольняється за рахунок імпорту).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Таким чином, інвестиції відіграють найважливішу роль у розвитку економічних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процесів, є одним з факторів економічного зростання й відновлення на рівні держави в цілому,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на регіональному рівні й на рівні окремих підприємств.</w:t>
      </w:r>
      <w:r w:rsidR="00BE5C3D" w:rsidRPr="00BE5C3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[</w:t>
      </w:r>
      <w:r w:rsidR="00BE5C3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GB" w:eastAsia="ru-RU"/>
        </w:rPr>
        <w:t>9</w:t>
      </w:r>
      <w:bookmarkStart w:id="0" w:name="_GoBack"/>
      <w:bookmarkEnd w:id="0"/>
      <w:r w:rsidR="00BE5C3D" w:rsidRPr="00BE5C3D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]</w:t>
      </w:r>
    </w:p>
    <w:p w14:paraId="11BBAD32" w14:textId="178A58E5" w:rsidR="00EF7FD1" w:rsidRDefault="00711CCB" w:rsidP="00711CCB">
      <w:pPr>
        <w:shd w:val="clear" w:color="auto" w:fill="FFFFFF"/>
        <w:spacing w:after="0" w:line="360" w:lineRule="auto"/>
        <w:ind w:left="-567" w:right="-613" w:firstLine="495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І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нформаці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я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про капітальні інвестиції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Львівської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області та України за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період 200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-201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рр., наведен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а</w:t>
      </w:r>
      <w:r w:rsidRPr="00711CCB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у табл. 6.</w:t>
      </w:r>
    </w:p>
    <w:p w14:paraId="31810057" w14:textId="3CF6D775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64B472C7" w14:textId="79A41CDF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27F49C63" w14:textId="6E2041BA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66866C83" w14:textId="4DFDC5D1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1B9AAFCE" w14:textId="18573340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6455E7AE" w14:textId="4EA5D859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4B69BBE0" w14:textId="32596FA5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2C1CDCAB" w14:textId="6A4A49C9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3EFD90AA" w14:textId="20A3B223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42F59D2A" w14:textId="639B33CA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541EBCED" w14:textId="3A42A332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297B7980" w14:textId="00F0F028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3639DB0A" w14:textId="6494E46D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3F0C0E14" w14:textId="5597BC66" w:rsidR="00BD1018" w:rsidRDefault="00BD1018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206BAC4A" w14:textId="7FEF8A49" w:rsidR="00BD1018" w:rsidRDefault="002C2875" w:rsidP="002C2875">
      <w:pPr>
        <w:shd w:val="clear" w:color="auto" w:fill="FFFFFF"/>
        <w:spacing w:after="0" w:line="360" w:lineRule="auto"/>
        <w:ind w:left="-567" w:right="-613"/>
        <w:jc w:val="center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lastRenderedPageBreak/>
        <w:t>Графік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динамік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и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інвестицій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Львівської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області протягом 200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7 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-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201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2C2875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рр.</w:t>
      </w:r>
      <w:r w:rsidR="00467BEF">
        <w:rPr>
          <w:noProof/>
        </w:rPr>
        <w:drawing>
          <wp:inline distT="0" distB="0" distL="0" distR="0" wp14:anchorId="389DD3F4" wp14:editId="6B3F635E">
            <wp:extent cx="6477000" cy="3810000"/>
            <wp:effectExtent l="0" t="0" r="0" b="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1F4138F3-C4EF-4E54-B3ED-241C34EA9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E1381A" w14:textId="035FB517" w:rsidR="003B039E" w:rsidRDefault="002C2875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</w:pPr>
      <w:r w:rsidRPr="002C2875">
        <w:rPr>
          <w:rFonts w:ascii="Times New Roman" w:eastAsia="Times New Roman" w:hAnsi="Times New Roman" w:cs="Times New Roman"/>
          <w:bCs/>
          <w:i/>
          <w:color w:val="222222"/>
          <w:sz w:val="24"/>
          <w:szCs w:val="24"/>
          <w:lang w:val="uk-UA" w:eastAsia="ru-RU"/>
        </w:rPr>
        <w:t>Рис. 7 Динаміка капітальних інвестицій Львівської області (у фактичних цінах; грн), 2007-2017рр.</w:t>
      </w:r>
    </w:p>
    <w:p w14:paraId="09B2EA6E" w14:textId="2FD844D8" w:rsidR="002C2875" w:rsidRDefault="002C2875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55AC398C" w14:textId="0641BC0F" w:rsidR="002C2875" w:rsidRPr="001106CF" w:rsidRDefault="002C2875" w:rsidP="001106CF">
      <w:pPr>
        <w:shd w:val="clear" w:color="auto" w:fill="FFFFFF"/>
        <w:spacing w:after="0" w:line="360" w:lineRule="auto"/>
        <w:ind w:left="-567" w:right="-612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Динаміка змін обсягів інвестицій у Львівській області протягом 200</w:t>
      </w:r>
      <w:r w:rsidR="008B1F1D"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-201</w:t>
      </w:r>
      <w:r w:rsidR="008B1F1D"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>7</w:t>
      </w:r>
      <w:r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років,</w:t>
      </w:r>
      <w:r w:rsidR="008B1F1D" w:rsidRPr="001106CF"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  <w:t xml:space="preserve"> спостерігається позитивною, оскільки аналізований покажчик на початку досліджуваного періоду(2007 рік) складав 4,7%, а в кінці досліджуваного періоду склав 5,4% тобто зріс на 0,7% - така динаміка є позитивною</w:t>
      </w:r>
    </w:p>
    <w:p w14:paraId="22D84D3D" w14:textId="62FB16A7" w:rsidR="008B1F1D" w:rsidRPr="001106CF" w:rsidRDefault="008B1F1D" w:rsidP="001106CF">
      <w:pPr>
        <w:shd w:val="clear" w:color="auto" w:fill="FFFFFF"/>
        <w:spacing w:after="0" w:line="360" w:lineRule="auto"/>
        <w:ind w:left="-567" w:right="-612" w:firstLine="567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  <w:r w:rsidRPr="001106CF">
        <w:rPr>
          <w:rFonts w:ascii="Times New Roman" w:hAnsi="Times New Roman" w:cs="Times New Roman"/>
          <w:sz w:val="24"/>
          <w:szCs w:val="24"/>
          <w:lang w:val="uk-UA"/>
        </w:rPr>
        <w:t>Як видно на рисунку 7 покажчик має тенденцію до зростання, до 2011 покажчик зріс на 7125,8 грн. Це зумовлене тим що інвесторам було вигідно вкладати капітал у Львівську область. У період з 2011-2013рр. іноземна валюта відносно української гривні зросла, прибутки скорочувались тому це  спричинило вилучення коштів за кордон</w:t>
      </w:r>
      <w:r w:rsidR="001106CF" w:rsidRPr="001106CF">
        <w:rPr>
          <w:rFonts w:ascii="Times New Roman" w:hAnsi="Times New Roman" w:cs="Times New Roman"/>
          <w:sz w:val="24"/>
          <w:szCs w:val="24"/>
          <w:lang w:val="uk-UA"/>
        </w:rPr>
        <w:t>, як наслідок покажчик скоротився на 2297,3 грн, починаючи з 2011 року і закінчуючи 2013 роком</w:t>
      </w:r>
      <w:r w:rsidRPr="001106C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106CF" w:rsidRPr="001106CF">
        <w:rPr>
          <w:rFonts w:ascii="Times New Roman" w:hAnsi="Times New Roman" w:cs="Times New Roman"/>
          <w:sz w:val="24"/>
          <w:szCs w:val="24"/>
          <w:lang w:val="uk-UA"/>
        </w:rPr>
        <w:t xml:space="preserve"> З 2014 року покажчик стрімко зростає і на кінець досліджуваного періоду(2017 рік) його цифра становить – 22330,5 грн., покажчик зріс на 12513,8грн. в порівнянні з 2014 роком.</w:t>
      </w:r>
    </w:p>
    <w:p w14:paraId="44FEC892" w14:textId="77777777" w:rsidR="002C2875" w:rsidRPr="002C2875" w:rsidRDefault="002C2875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uk-UA" w:eastAsia="ru-RU"/>
        </w:rPr>
      </w:pPr>
    </w:p>
    <w:p w14:paraId="45353B0C" w14:textId="5DCF3478" w:rsidR="003D311D" w:rsidRPr="003D311D" w:rsidRDefault="005A5576" w:rsidP="002C2875">
      <w:pPr>
        <w:shd w:val="clear" w:color="auto" w:fill="FFFFFF"/>
        <w:spacing w:after="0" w:line="360" w:lineRule="auto"/>
        <w:ind w:left="-567" w:right="-613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CD65A" wp14:editId="348F502A">
                <wp:simplePos x="0" y="0"/>
                <wp:positionH relativeFrom="column">
                  <wp:posOffset>2695575</wp:posOffset>
                </wp:positionH>
                <wp:positionV relativeFrom="paragraph">
                  <wp:posOffset>1132840</wp:posOffset>
                </wp:positionV>
                <wp:extent cx="390525" cy="238125"/>
                <wp:effectExtent l="0" t="0" r="28575" b="285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CB49B6" w14:textId="40F047A2" w:rsidR="005A5576" w:rsidRPr="006C65F5" w:rsidRDefault="005A5576" w:rsidP="005A5576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1CD65A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212.25pt;margin-top:89.2pt;width:30.75pt;height:18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" fillcolor="white [3201]" strokecolor="white [3212]" strokeweight=".5pt">
                <v:textbox>
                  <w:txbxContent>
                    <w:p w14:paraId="0FCB49B6" w14:textId="40F047A2" w:rsidR="005A5576" w:rsidRPr="006C65F5" w:rsidRDefault="005A5576" w:rsidP="005A5576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311D" w:rsidRPr="003D311D" w:rsidSect="005A5576">
      <w:footerReference w:type="default" r:id="rId8"/>
      <w:pgSz w:w="11906" w:h="16838"/>
      <w:pgMar w:top="1440" w:right="1440" w:bottom="1440" w:left="1440" w:header="708" w:footer="708" w:gutter="0"/>
      <w:pgNumType w:start="3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8406B" w14:textId="77777777" w:rsidR="00300AF7" w:rsidRDefault="00300AF7" w:rsidP="005A5576">
      <w:pPr>
        <w:spacing w:after="0" w:line="240" w:lineRule="auto"/>
      </w:pPr>
      <w:r>
        <w:separator/>
      </w:r>
    </w:p>
  </w:endnote>
  <w:endnote w:type="continuationSeparator" w:id="0">
    <w:p w14:paraId="3C0F5C10" w14:textId="77777777" w:rsidR="00300AF7" w:rsidRDefault="00300AF7" w:rsidP="005A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0184750"/>
      <w:docPartObj>
        <w:docPartGallery w:val="Page Numbers (Bottom of Page)"/>
        <w:docPartUnique/>
      </w:docPartObj>
    </w:sdtPr>
    <w:sdtEndPr/>
    <w:sdtContent>
      <w:p w14:paraId="173DDF20" w14:textId="5BBB803B" w:rsidR="005A5576" w:rsidRDefault="005A55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16657273" w14:textId="77777777" w:rsidR="005A5576" w:rsidRDefault="005A55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6C409" w14:textId="77777777" w:rsidR="00300AF7" w:rsidRDefault="00300AF7" w:rsidP="005A5576">
      <w:pPr>
        <w:spacing w:after="0" w:line="240" w:lineRule="auto"/>
      </w:pPr>
      <w:r>
        <w:separator/>
      </w:r>
    </w:p>
  </w:footnote>
  <w:footnote w:type="continuationSeparator" w:id="0">
    <w:p w14:paraId="1C89EF6C" w14:textId="77777777" w:rsidR="00300AF7" w:rsidRDefault="00300AF7" w:rsidP="005A5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61FAE"/>
    <w:multiLevelType w:val="hybridMultilevel"/>
    <w:tmpl w:val="CC182B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D1"/>
    <w:rsid w:val="001106CF"/>
    <w:rsid w:val="002B6871"/>
    <w:rsid w:val="002C2875"/>
    <w:rsid w:val="00300AF7"/>
    <w:rsid w:val="00314C49"/>
    <w:rsid w:val="003B039E"/>
    <w:rsid w:val="003D311D"/>
    <w:rsid w:val="00467BEF"/>
    <w:rsid w:val="005A5576"/>
    <w:rsid w:val="00711CCB"/>
    <w:rsid w:val="008B1F1D"/>
    <w:rsid w:val="00BD1018"/>
    <w:rsid w:val="00BE5C3D"/>
    <w:rsid w:val="00EF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9E59"/>
  <w15:chartTrackingRefBased/>
  <w15:docId w15:val="{79A1EA31-F140-42D0-9B59-08C3EF4D8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1CC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1CCB"/>
    <w:pPr>
      <w:ind w:left="720"/>
      <w:contextualSpacing/>
    </w:pPr>
    <w:rPr>
      <w:lang w:val="uk-UA"/>
    </w:rPr>
  </w:style>
  <w:style w:type="paragraph" w:styleId="a5">
    <w:name w:val="Balloon Text"/>
    <w:basedOn w:val="a"/>
    <w:link w:val="a6"/>
    <w:uiPriority w:val="99"/>
    <w:semiHidden/>
    <w:unhideWhenUsed/>
    <w:rsid w:val="005A5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5A5576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A55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A5576"/>
  </w:style>
  <w:style w:type="paragraph" w:styleId="a9">
    <w:name w:val="footer"/>
    <w:basedOn w:val="a"/>
    <w:link w:val="aa"/>
    <w:uiPriority w:val="99"/>
    <w:unhideWhenUsed/>
    <w:rsid w:val="005A557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A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Капітальні інвестиції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4988.2</c:v>
                </c:pt>
                <c:pt idx="1">
                  <c:v>6032.4</c:v>
                </c:pt>
                <c:pt idx="2">
                  <c:v>7793.1</c:v>
                </c:pt>
                <c:pt idx="3">
                  <c:v>8830.1</c:v>
                </c:pt>
                <c:pt idx="4">
                  <c:v>12114</c:v>
                </c:pt>
                <c:pt idx="5">
                  <c:v>11173.3</c:v>
                </c:pt>
                <c:pt idx="6">
                  <c:v>9816.7000000000007</c:v>
                </c:pt>
                <c:pt idx="7">
                  <c:v>9955.7999999999993</c:v>
                </c:pt>
                <c:pt idx="8">
                  <c:v>13386.5</c:v>
                </c:pt>
                <c:pt idx="9">
                  <c:v>18605.2</c:v>
                </c:pt>
                <c:pt idx="10">
                  <c:v>22330.5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1A-4702-B560-A12F96984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8529999"/>
        <c:axId val="504800767"/>
      </c:lineChart>
      <c:catAx>
        <c:axId val="50852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4800767"/>
        <c:crosses val="autoZero"/>
        <c:auto val="1"/>
        <c:lblAlgn val="ctr"/>
        <c:lblOffset val="100"/>
        <c:noMultiLvlLbl val="0"/>
      </c:catAx>
      <c:valAx>
        <c:axId val="5048007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852999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3143</Words>
  <Characters>1793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Костів Орест Любомирович</cp:lastModifiedBy>
  <cp:revision>6</cp:revision>
  <dcterms:created xsi:type="dcterms:W3CDTF">2019-04-07T08:52:00Z</dcterms:created>
  <dcterms:modified xsi:type="dcterms:W3CDTF">2019-05-11T08:25:00Z</dcterms:modified>
</cp:coreProperties>
</file>