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 w:rsidR="00671343">
      <w:r>
        <w:rPr>
          <w:noProof/>
        </w:rPr>
        <w:drawing>
          <wp:inline distT="0" distB="0" distL="0" distR="0">
            <wp:extent cx="5810250" cy="389572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hart" Target="charts/chart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 algn="ctr">
              <a:defRPr sz="1400"/>
            </a:pPr>
            <a:r>
              <a:rPr lang="en-US" sz="1400" b="0"/>
              <a:t>Total Contract Prices by Quarters</a:t>
            </a:r>
            <a:endParaRPr lang="en-US" sz="1400" b="0"/>
          </a:p>
        </c:rich>
      </c:tx>
      <c:layout>
        <c:manualLayout>
          <c:xMode val="edge"/>
          <c:yMode val="edge"/>
          <c:x val="0.12920218579234988"/>
          <c:y val="0"/>
        </c:manualLayout>
      </c:layout>
      <c:overlay val="1"/>
    </c:title>
    <c:plotArea>
      <c:layout>
        <c:manualLayout>
          <c:layoutTarget val="inner"/>
          <c:xMode val="edge"/>
          <c:yMode val="edge"/>
          <c:x val="0.058832408244051511"/>
          <c:y val="0.20397384312291039"/>
          <c:w val="0.9193096682586811"/>
          <c:h val="0.46460594626160728"/>
        </c:manualLayout>
      </c:layout>
      <c:barChart>
        <c:barDir val="col"/>
        <c:grouping val="stacked"/>
        <c:ser>
          <c:idx val="0"/>
          <c:order val="0"/>
          <c:tx>
            <c:v>1st Quarter</c:v>
          </c:tx>
          <c:cat>
            <c:strLit>
              <c:ptCount val="3"/>
              <c:pt idx="0">
                <c:v>John Smith</c:v>
              </c:pt>
              <c:pt idx="1">
                <c:v>July James</c:v>
              </c:pt>
              <c:pt idx="2">
                <c:v>Tony Anderson</c:v>
              </c:pt>
            </c:strLit>
          </c:cat>
          <c:val>
            <c:numLit>
              <c:formatCode>General</c:formatCode>
              <c:ptCount val="3"/>
              <c:pt idx="0" formatCode="General">
                <c:v>1200000</c:v>
              </c:pt>
              <c:pt idx="1" formatCode="General">
                <c:v>350000</c:v>
              </c:pt>
              <c:pt idx="2" formatCode="General">
                <c:v>650000</c:v>
              </c:pt>
            </c:numLit>
          </c:val>
        </c:ser>
        <c:ser>
          <c:idx val="1"/>
          <c:order val="1"/>
          <c:tx>
            <c:v>2nd Quarter</c:v>
          </c:tx>
          <c:cat>
            <c:strLit>
              <c:ptCount val="3"/>
              <c:pt idx="0">
                <c:v>John Smith</c:v>
              </c:pt>
              <c:pt idx="1">
                <c:v>July James</c:v>
              </c:pt>
              <c:pt idx="2">
                <c:v>Tony Anderson</c:v>
              </c:pt>
            </c:strLit>
          </c:cat>
          <c:val>
            <c:numLit>
              <c:formatCode>General</c:formatCode>
              <c:ptCount val="3"/>
              <c:pt idx="0" formatCode="General">
                <c:v>750000</c:v>
              </c:pt>
              <c:pt idx="1" formatCode="General">
                <c:v>250000</c:v>
              </c:pt>
              <c:pt idx="2" formatCode="General">
                <c:v>0</c:v>
              </c:pt>
            </c:numLit>
          </c:val>
        </c:ser>
        <c:ser>
          <c:idx val="2"/>
          <c:order val="2"/>
          <c:tx>
            <c:v>3rd Quarter</c:v>
          </c:tx>
          <c:cat>
            <c:strLit>
              <c:ptCount val="3"/>
              <c:pt idx="0">
                <c:v>John Smith</c:v>
              </c:pt>
              <c:pt idx="1">
                <c:v>July James</c:v>
              </c:pt>
              <c:pt idx="2">
                <c:v>Tony Anderson</c:v>
              </c:pt>
            </c:strLit>
          </c:cat>
          <c:val>
            <c:numLit>
              <c:formatCode>General</c:formatCode>
              <c:ptCount val="3"/>
              <c:pt idx="0" formatCode="General">
                <c:v>350000</c:v>
              </c:pt>
              <c:pt idx="1" formatCode="General">
                <c:v>200000</c:v>
              </c:pt>
              <c:pt idx="2" formatCode="General">
                <c:v>550000</c:v>
              </c:pt>
            </c:numLit>
          </c:val>
        </c:ser>
        <c:ser>
          <c:idx val="3"/>
          <c:order val="3"/>
          <c:tx>
            <c:v>4th Quarter</c:v>
          </c:tx>
          <c:cat>
            <c:strLit>
              <c:ptCount val="3"/>
              <c:pt idx="0">
                <c:v>John Smith</c:v>
              </c:pt>
              <c:pt idx="1">
                <c:v>July James</c:v>
              </c:pt>
              <c:pt idx="2">
                <c:v>Tony Anderson</c:v>
              </c:pt>
            </c:strLit>
          </c:cat>
          <c:val>
            <c:numLit>
              <c:formatCode>General</c:formatCode>
              <c:ptCount val="3"/>
              <c:pt idx="0" formatCode="General">
                <c:v>0</c:v>
              </c:pt>
              <c:pt idx="1" formatCode="General">
                <c:v>0</c:v>
              </c:pt>
              <c:pt idx="2" formatCode="General">
                <c:v>0</c:v>
              </c:pt>
            </c:numLit>
          </c:val>
        </c:ser>
        <c:overlap val="100"/>
        <c:axId val="79085952"/>
        <c:axId val="81361152"/>
      </c:barChart>
      <c:catAx>
        <c:axId val="79085952"/>
        <c:scaling>
          <c:orientation val="minMax"/>
        </c:scaling>
        <c:axPos val="b"/>
        <c:tickLblPos val="nextTo"/>
        <c:crossAx val="81361152"/>
        <c:crosses val="autoZero"/>
        <c:auto val="1"/>
        <c:lblAlgn val="ctr"/>
        <c:lblOffset val="100"/>
      </c:catAx>
      <c:valAx>
        <c:axId val="81361152"/>
        <c:scaling>
          <c:orientation val="minMax"/>
        </c:scaling>
        <c:axPos val="l"/>
        <c:majorGridlines/>
        <c:numFmt formatCode="General" sourceLinked="1"/>
        <c:tickLblPos val="nextTo"/>
        <c:crossAx val="7908595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057483231262758866"/>
          <c:y val="0.76687007874015789"/>
          <c:w val="0.93132983377077894"/>
          <c:h val="0.2093203974503188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3055D0-CA44-4997-8A90-3635B6E6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naeem</cp:lastModifiedBy>
  <cp:revision>29</cp:revision>
  <dcterms:created xsi:type="dcterms:W3CDTF">2015-11-13T06:36:00Z</dcterms:created>
  <dcterms:modified xsi:type="dcterms:W3CDTF">2015-11-13T11:47:00Z</dcterms:modified>
</cp:coreProperties>
</file>