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Student handbook</w:t>
      </w:r>
    </w:p>
    <w:p>
      <w:pPr>
        <w:pStyle w:val="Subtitle"/>
      </w:pPr>
      <w:r>
        <w:t>Riverlight Learning Academy | RLA-HANDBOOK-01 | Fictional practice data</w:t>
      </w:r>
    </w:p>
    <w:p>
      <w:pPr>
        <w:pStyle w:val="Heading1"/>
      </w:pPr>
      <w:r>
        <w:t>Attendance and certification</w:t>
      </w:r>
    </w:p>
    <w:p>
      <w:r>
        <w:t>Students must attend at least 80% of scheduled sessions and submit the final project to receive a completion certificate. A passing project score is at least 60 out of 100. Certificates are issued within 10 working days after final results are approved.</w:t>
      </w:r>
    </w:p>
    <w:p>
      <w:pPr>
        <w:pStyle w:val="Heading1"/>
      </w:pPr>
      <w:r>
        <w:t>Refunds and transfers</w:t>
      </w:r>
    </w:p>
    <w:p>
      <w:r>
        <w:t>A cancellation requested at least 7 calendar days before the first class receives a full refund. A cancellation requested 1 to 6 calendar days before the first class receives a 50% refund. No refund is available on or after the first class date.</w:t>
      </w:r>
    </w:p>
    <w:p>
      <w:r>
        <w:t>A student may request one transfer to a later batch before the first class. Transfers depend on seat availability. Refund requests go to accounts@riverlight.example with the enrollment ID. Approved refunds are processed within 7 working days.</w:t>
      </w:r>
    </w:p>
    <w:p>
      <w:pPr>
        <w:pStyle w:val="Heading1"/>
      </w:pPr>
      <w:r>
        <w:t>Assignments and conduct</w:t>
      </w:r>
    </w:p>
    <w:p>
      <w:r>
        <w:t>Assignments are due within 5 calendar days after the relevant class. An extension of up to 2 calendar days requires instructor approval before the deadline. Students must credit outside sources and submit their own work. Sharing another student's project as your own may result in removal from the course.</w:t>
      </w:r>
    </w:p>
    <w:p>
      <w:pPr>
        <w:pStyle w:val="Heading1"/>
      </w:pPr>
      <w:r>
        <w:t>Equipment and support</w:t>
      </w:r>
    </w:p>
    <w:p>
      <w:r>
        <w:t>Students bring their own laptops and headphones. Classroom devices must be used responsibly. Report accessibility needs to support@riverlight.example before the course starts. This handbook applies to all four courses in the October 2026 catalog.</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olor w:val="000000"/>
        <w:sz w:val="22"/>
      </w:rPr>
    </w:rPrDefault>
    <w:pPrDefault>
      <w:pPr>
        <w:spacing w:before="0" w:after="120" w:line="300" w:lineRule="auto"/>
      </w:pPr>
    </w:pPrDefault>
  </w:docDefaults>
  <w:style w:type="paragraph" w:default="1" w:styleId="Normal">
    <w:name w:val="Normal"/>
    <w:pPr>
      <w:spacing w:before="0" w:after="120" w:line="300" w:lineRule="auto"/>
      <w:jc w:val="left"/>
    </w:pPr>
    <w:rPr>
      <w:rFonts w:ascii="Calibri" w:hAnsi="Calibri"/>
      <w:color w:val="000000"/>
      <w:sz w:val="22"/>
    </w:rPr>
  </w:style>
  <w:style w:type="paragraph" w:styleId="Title">
    <w:name w:val="Title"/>
    <w:basedOn w:val="Normal"/>
    <w:pPr>
      <w:keepNext/>
      <w:spacing w:before="0" w:after="120" w:line="300" w:lineRule="auto"/>
    </w:pPr>
    <w:rPr>
      <w:b/>
      <w:sz w:val="48"/>
      <w:color w:val="0B2545"/>
    </w:rPr>
  </w:style>
  <w:style w:type="paragraph" w:styleId="Subtitle">
    <w:name w:val="Subtitle"/>
    <w:basedOn w:val="Normal"/>
    <w:pPr>
      <w:keepNext/>
      <w:spacing w:before="0" w:after="120" w:line="300" w:lineRule="auto"/>
    </w:pPr>
    <w:rPr>
      <w:sz w:val="20"/>
      <w:color w:val="555555"/>
    </w:rPr>
  </w:style>
  <w:style w:type="paragraph" w:styleId="Heading1">
    <w:name w:val="heading 1"/>
    <w:basedOn w:val="Normal"/>
    <w:pPr>
      <w:keepNext/>
      <w:spacing w:before="360" w:after="200" w:line="300" w:lineRule="auto"/>
      <w:outlineLvl w:val="0"/>
    </w:pPr>
    <w:rPr>
      <w:b/>
      <w:sz w:val="32"/>
      <w:color w:val="2E74B5"/>
    </w:rPr>
  </w:style>
  <w:style w:type="paragraph" w:styleId="Heading2">
    <w:name w:val="heading 2"/>
    <w:basedOn w:val="Normal"/>
    <w:pPr>
      <w:keepNext/>
      <w:spacing w:before="280" w:after="140" w:line="300" w:lineRule="auto"/>
      <w:outlineLvl w:val="1"/>
    </w:pPr>
    <w:rPr>
      <w:b/>
      <w:sz w:val="26"/>
      <w:color w:val="2E74B5"/>
    </w:rPr>
  </w:style>
  <w:style w:type="paragraph" w:styleId="Heading3">
    <w:name w:val="heading 3"/>
    <w:basedOn w:val="Normal"/>
    <w:pPr>
      <w:keepNext/>
      <w:spacing w:before="200" w:after="100" w:line="300" w:lineRule="auto"/>
      <w:outlineLvl w:val="2"/>
    </w:pPr>
    <w:rPr>
      <w:b/>
      <w:sz w:val="24"/>
      <w:color w:val="1F4D7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