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Раздел</w:t>
      </w:r>
      <w:r>
        <w:t xml:space="preserve"> </w:t>
      </w:r>
      <w:r>
        <w:t xml:space="preserve">-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Выполнение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курса.</w:t>
      </w:r>
      <w:r>
        <w:t xml:space="preserve"> </w:t>
      </w:r>
      <w:r>
        <w:t xml:space="preserve">Основы</w:t>
      </w:r>
      <w:r>
        <w:t xml:space="preserve"> </w:t>
      </w:r>
      <w:r>
        <w:t xml:space="preserve">Linux.</w:t>
      </w:r>
      <w:r>
        <w:t xml:space="preserve"> </w:t>
      </w:r>
      <w:r>
        <w:t xml:space="preserve">Раздел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Сокирка</w:t>
      </w:r>
      <w:r>
        <w:t xml:space="preserve"> </w:t>
      </w:r>
      <w:r>
        <w:t xml:space="preserve">Анна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общее представление о системе Linux и её базовых возможностях.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Пройти все предложенные тесты и упражнения в первом разделе курса.</w:t>
      </w:r>
    </w:p>
    <w:bookmarkEnd w:id="21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раздел-1.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Раздел 1.1</w:t>
      </w:r>
    </w:p>
    <w:p>
      <w:pPr>
        <w:pStyle w:val="CaptionedFigure"/>
      </w:pPr>
      <w:r>
        <w:drawing>
          <wp:inline>
            <wp:extent cx="5334000" cy="3079551"/>
            <wp:effectExtent b="0" l="0" r="0" t="0"/>
            <wp:docPr descr="Рис. 1: Базовые операц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Базовые операции</w:t>
      </w:r>
    </w:p>
    <w:p>
      <w:pPr>
        <w:pStyle w:val="CaptionedFigure"/>
      </w:pPr>
      <w:r>
        <w:drawing>
          <wp:inline>
            <wp:extent cx="5334000" cy="2683668"/>
            <wp:effectExtent b="0" l="0" r="0" t="0"/>
            <wp:docPr descr="Рис. 2: Настройка окруже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окружения</w:t>
      </w:r>
    </w:p>
    <w:p>
      <w:pPr>
        <w:pStyle w:val="BodyText"/>
      </w:pPr>
      <w:r>
        <w:t xml:space="preserve">Задания из этого раздела выполняются автоматически и не требуют отдельного пояснения.</w:t>
      </w:r>
    </w:p>
    <w:bookmarkEnd w:id="28"/>
    <w:bookmarkStart w:id="38" w:name="раздел-1.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Раздел 1.2</w:t>
      </w:r>
    </w:p>
    <w:p>
      <w:pPr>
        <w:pStyle w:val="CaptionedFigure"/>
      </w:pPr>
      <w:r>
        <w:drawing>
          <wp:inline>
            <wp:extent cx="5334000" cy="2475309"/>
            <wp:effectExtent b="0" l="0" r="0" t="0"/>
            <wp:docPr descr="Рис. 3: Использование операционных систе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операционных систем</w:t>
      </w:r>
    </w:p>
    <w:p>
      <w:pPr>
        <w:pStyle w:val="BodyText"/>
      </w:pPr>
      <w:r>
        <w:t xml:space="preserve">Даже изучая Linux, пользователи могут применять другие ОС — например, запускать Linux в виртуальной машине из-под Windows.</w:t>
      </w:r>
    </w:p>
    <w:p>
      <w:pPr>
        <w:pStyle w:val="CaptionedFigure"/>
      </w:pPr>
      <w:r>
        <w:drawing>
          <wp:inline>
            <wp:extent cx="5334000" cy="2262782"/>
            <wp:effectExtent b="0" l="0" r="0" t="0"/>
            <wp:docPr descr="Рис. 4: Определение виртуальной машины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Определение виртуальной машины</w:t>
      </w:r>
    </w:p>
    <w:p>
      <w:pPr>
        <w:pStyle w:val="BodyText"/>
      </w:pPr>
      <w:r>
        <w:t xml:space="preserve">Данный ответ полностью соответствует понятию виртуальной машины. Остальные утверждения не имеют смысла в данном контексте.</w:t>
      </w:r>
    </w:p>
    <w:p>
      <w:pPr>
        <w:pStyle w:val="CaptionedFigure"/>
      </w:pPr>
      <w:r>
        <w:drawing>
          <wp:inline>
            <wp:extent cx="5334000" cy="2241946"/>
            <wp:effectExtent b="0" l="0" r="0" t="0"/>
            <wp:docPr descr="Рис. 5: Подтверждение запуска Linu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Подтверждение запуска Linux</w:t>
      </w:r>
    </w:p>
    <w:p>
      <w:pPr>
        <w:pStyle w:val="BodyText"/>
      </w:pPr>
      <w:r>
        <w:t xml:space="preserve">Корректный запуск Linux-среды свидетельствует об успешном выполнении необходимых действий.</w:t>
      </w:r>
    </w:p>
    <w:bookmarkEnd w:id="38"/>
    <w:bookmarkStart w:id="48" w:name="раздел-1.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Раздел 1.3</w:t>
      </w:r>
    </w:p>
    <w:p>
      <w:pPr>
        <w:pStyle w:val="CaptionedFigure"/>
      </w:pPr>
      <w:r>
        <w:drawing>
          <wp:inline>
            <wp:extent cx="5334000" cy="1996082"/>
            <wp:effectExtent b="0" l="0" r="0" t="0"/>
            <wp:docPr descr="Рис. 6: Форматы пакетов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Форматы пакетов</w:t>
      </w:r>
    </w:p>
    <w:p>
      <w:pPr>
        <w:pStyle w:val="BodyText"/>
      </w:pPr>
      <w:r>
        <w:t xml:space="preserve">Пакеты .deb характерны для Ubuntu. Остальные расширения относятся к другим ОС или не применимы.</w:t>
      </w:r>
    </w:p>
    <w:p>
      <w:pPr>
        <w:pStyle w:val="CaptionedFigure"/>
      </w:pPr>
      <w:r>
        <w:drawing>
          <wp:inline>
            <wp:extent cx="5334000" cy="2062757"/>
            <wp:effectExtent b="0" l="0" r="0" t="0"/>
            <wp:docPr descr="Рис. 7: Информация о разработчике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Информация о разработчике</w:t>
      </w:r>
    </w:p>
    <w:p>
      <w:pPr>
        <w:pStyle w:val="BodyText"/>
      </w:pPr>
      <w:r>
        <w:t xml:space="preserve">Фамилия разработчика была найдена в разделе Authors программы VLC, как требовалось.</w:t>
      </w:r>
    </w:p>
    <w:p>
      <w:pPr>
        <w:pStyle w:val="CaptionedFigure"/>
      </w:pPr>
      <w:r>
        <w:drawing>
          <wp:inline>
            <wp:extent cx="5334000" cy="1958578"/>
            <wp:effectExtent b="0" l="0" r="0" t="0"/>
            <wp:docPr descr="Рис. 8: Назначение Update Manager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Назначение Update Manager</w:t>
      </w:r>
    </w:p>
    <w:p>
      <w:pPr>
        <w:pStyle w:val="BodyText"/>
      </w:pPr>
      <w:r>
        <w:t xml:space="preserve">Update Manager отвечает за установку обновлений — установка новых программ осуществляется через Software Center.</w:t>
      </w:r>
    </w:p>
    <w:bookmarkEnd w:id="48"/>
    <w:bookmarkStart w:id="64" w:name="раздел-1.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Раздел 1.4</w:t>
      </w:r>
    </w:p>
    <w:p>
      <w:pPr>
        <w:pStyle w:val="CaptionedFigure"/>
      </w:pPr>
      <w:r>
        <w:drawing>
          <wp:inline>
            <wp:extent cx="5334000" cy="1725215"/>
            <wp:effectExtent b="0" l="0" r="0" t="0"/>
            <wp:docPr descr="Рис. 9: Термины для командной строки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Термины для командной строки</w:t>
      </w:r>
    </w:p>
    <w:p>
      <w:pPr>
        <w:pStyle w:val="BodyText"/>
      </w:pPr>
      <w:r>
        <w:t xml:space="preserve">В Linux термины</w:t>
      </w:r>
      <w:r>
        <w:t xml:space="preserve"> </w:t>
      </w:r>
      <w:r>
        <w:t xml:space="preserve">“</w:t>
      </w:r>
      <w:r>
        <w:t xml:space="preserve">консоль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терминал</w:t>
      </w:r>
      <w:r>
        <w:t xml:space="preserve">”</w:t>
      </w:r>
      <w:r>
        <w:t xml:space="preserve"> </w:t>
      </w:r>
      <w:r>
        <w:t xml:space="preserve">— синонимичны, в отличие от прочих вымышленных слов.</w:t>
      </w:r>
    </w:p>
    <w:p>
      <w:pPr>
        <w:pStyle w:val="CaptionedFigure"/>
      </w:pPr>
      <w:r>
        <w:drawing>
          <wp:inline>
            <wp:extent cx="5334000" cy="1691878"/>
            <wp:effectExtent b="0" l="0" r="0" t="0"/>
            <wp:docPr descr="Рис. 10: Команда pwd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1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pwd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выводит путь к текущей директории. Важно использовать правильный регистр.</w:t>
      </w:r>
    </w:p>
    <w:p>
      <w:pPr>
        <w:pStyle w:val="CaptionedFigure"/>
      </w:pPr>
      <w:r>
        <w:drawing>
          <wp:inline>
            <wp:extent cx="5334000" cy="1362670"/>
            <wp:effectExtent b="0" l="0" r="0" t="0"/>
            <wp:docPr descr="Рис. 11: Комбинация опций ls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Комбинация опций ls</w:t>
      </w:r>
    </w:p>
    <w:p>
      <w:pPr>
        <w:pStyle w:val="BodyText"/>
      </w:pPr>
      <w:r>
        <w:t xml:space="preserve">Комбинированные опции позволяют отобразить скрытые файлы, размер в удобной форме и полную информацию о файлах.</w:t>
      </w:r>
    </w:p>
    <w:p>
      <w:pPr>
        <w:pStyle w:val="CaptionedFigure"/>
      </w:pPr>
      <w:r>
        <w:drawing>
          <wp:inline>
            <wp:extent cx="5334000" cy="1721048"/>
            <wp:effectExtent b="0" l="0" r="0" t="0"/>
            <wp:docPr descr="Рис. 12: Навигация по директориям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Навигация по директориям</w:t>
      </w:r>
    </w:p>
    <w:p>
      <w:pPr>
        <w:pStyle w:val="BodyText"/>
      </w:pPr>
      <w:r>
        <w:t xml:space="preserve">Здесь продемонстрирован переход в папку Downloads с использованием относительного пути.</w:t>
      </w:r>
    </w:p>
    <w:p>
      <w:pPr>
        <w:pStyle w:val="CaptionedFigure"/>
      </w:pPr>
      <w:r>
        <w:drawing>
          <wp:inline>
            <wp:extent cx="5334000" cy="2133600"/>
            <wp:effectExtent b="0" l="0" r="0" t="0"/>
            <wp:docPr descr="Рис. 13: Рекурсивное удаление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Рекурсивное удаление</w:t>
      </w:r>
    </w:p>
    <w:p>
      <w:pPr>
        <w:pStyle w:val="BodyText"/>
      </w:pPr>
      <w:r>
        <w:t xml:space="preserve">Удаление каталога и его содержимого происходит при помощи команды</w:t>
      </w:r>
      <w:r>
        <w:t xml:space="preserve"> </w:t>
      </w:r>
      <w:r>
        <w:rPr>
          <w:rStyle w:val="VerbatimChar"/>
        </w:rPr>
        <w:t xml:space="preserve">rm -r</w:t>
      </w:r>
      <w:r>
        <w:t xml:space="preserve">.</w:t>
      </w:r>
    </w:p>
    <w:bookmarkEnd w:id="64"/>
    <w:bookmarkStart w:id="74" w:name="раздел-1.5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Раздел 1.5</w:t>
      </w:r>
    </w:p>
    <w:p>
      <w:pPr>
        <w:pStyle w:val="CaptionedFigure"/>
      </w:pPr>
      <w:r>
        <w:drawing>
          <wp:inline>
            <wp:extent cx="5334000" cy="1737717"/>
            <wp:effectExtent b="0" l="0" r="0" t="0"/>
            <wp:docPr descr="Рис. 14: Работа процессов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процессов</w:t>
      </w:r>
    </w:p>
    <w:p>
      <w:pPr>
        <w:pStyle w:val="BodyText"/>
      </w:pPr>
      <w:r>
        <w:t xml:space="preserve">Выход из терминала не завершает процессы, запущенные в фоне (например, Firefox).</w:t>
      </w:r>
    </w:p>
    <w:p>
      <w:pPr>
        <w:pStyle w:val="CaptionedFigure"/>
      </w:pPr>
      <w:r>
        <w:drawing>
          <wp:inline>
            <wp:extent cx="5334000" cy="1729382"/>
            <wp:effectExtent b="0" l="0" r="0" t="0"/>
            <wp:docPr descr="Рис. 15: Управление процессами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Управление процессами</w:t>
      </w:r>
    </w:p>
    <w:p>
      <w:pPr>
        <w:pStyle w:val="BodyText"/>
      </w:pPr>
      <w:r>
        <w:t xml:space="preserve">Комбинация Ctrl+Z и последующая команда</w:t>
      </w:r>
      <w:r>
        <w:t xml:space="preserve"> </w:t>
      </w:r>
      <w:r>
        <w:rPr>
          <w:rStyle w:val="VerbatimChar"/>
        </w:rPr>
        <w:t xml:space="preserve">bg</w:t>
      </w:r>
      <w:r>
        <w:t xml:space="preserve"> </w:t>
      </w:r>
      <w:r>
        <w:t xml:space="preserve">позволяет продолжить выполнение процесса в фоновом режиме.</w:t>
      </w:r>
    </w:p>
    <w:p>
      <w:pPr>
        <w:pStyle w:val="CaptionedFigure"/>
      </w:pPr>
      <w:r>
        <w:drawing>
          <wp:inline>
            <wp:extent cx="5334000" cy="1904404"/>
            <wp:effectExtent b="0" l="0" r="0" t="0"/>
            <wp:docPr descr="Рис. 16: Вывод исполняемого файла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исполняемого файла</w:t>
      </w:r>
    </w:p>
    <w:p>
      <w:pPr>
        <w:pStyle w:val="BodyText"/>
      </w:pPr>
      <w:r>
        <w:t xml:space="preserve">Результат работы исполняемого файла был корректно выведен и зафиксирован.</w:t>
      </w:r>
    </w:p>
    <w:bookmarkEnd w:id="74"/>
    <w:bookmarkStart w:id="84" w:name="раздел-1.6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Раздел 1.6</w:t>
      </w:r>
    </w:p>
    <w:p>
      <w:pPr>
        <w:pStyle w:val="CaptionedFigure"/>
      </w:pPr>
      <w:r>
        <w:drawing>
          <wp:inline>
            <wp:extent cx="5334000" cy="2779514"/>
            <wp:effectExtent b="0" l="0" r="0" t="0"/>
            <wp:docPr descr="Рис. 17: Поток ошибок stderr" title="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Поток ошибок stderr</w:t>
      </w:r>
    </w:p>
    <w:p>
      <w:pPr>
        <w:pStyle w:val="BodyText"/>
      </w:pPr>
      <w:r>
        <w:t xml:space="preserve">Ошибки по умолчанию отображаются в терминале, если не перенаправлены специально.</w:t>
      </w:r>
    </w:p>
    <w:p>
      <w:pPr>
        <w:pStyle w:val="CaptionedFigure"/>
      </w:pPr>
      <w:r>
        <w:drawing>
          <wp:inline>
            <wp:extent cx="5334000" cy="1700212"/>
            <wp:effectExtent b="0" l="0" r="0" t="0"/>
            <wp:docPr descr="Рис. 18: Перенаправление stderr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Перенаправление stderr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2&gt;</w:t>
      </w:r>
      <w:r>
        <w:t xml:space="preserve"> </w:t>
      </w:r>
      <w:r>
        <w:t xml:space="preserve">направляет ошибки в указанный файл, при этом файл создаётся автоматически.</w:t>
      </w:r>
    </w:p>
    <w:p>
      <w:pPr>
        <w:pStyle w:val="CaptionedFigure"/>
      </w:pPr>
      <w:r>
        <w:drawing>
          <wp:inline>
            <wp:extent cx="5334000" cy="2300287"/>
            <wp:effectExtent b="0" l="0" r="0" t="0"/>
            <wp:docPr descr="Рис. 19: Ошибки в конвейере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0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Ошибки в конвейере</w:t>
      </w:r>
    </w:p>
    <w:p>
      <w:pPr>
        <w:pStyle w:val="BodyText"/>
      </w:pPr>
      <w:r>
        <w:t xml:space="preserve">Ошибочные сообщения в пайплайне не обрабатываются следующими командами и выводятся отдельно.</w:t>
      </w:r>
    </w:p>
    <w:bookmarkEnd w:id="84"/>
    <w:bookmarkStart w:id="94" w:name="раздел-1.7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Раздел 1.7</w:t>
      </w:r>
    </w:p>
    <w:p>
      <w:pPr>
        <w:pStyle w:val="CaptionedFigure"/>
      </w:pPr>
      <w:r>
        <w:drawing>
          <wp:inline>
            <wp:extent cx="5334000" cy="2221110"/>
            <wp:effectExtent b="0" l="0" r="0" t="0"/>
            <wp:docPr descr="Рис. 20: Опции wget -O и -P" title="" id="86" name="Picture"/>
            <a:graphic>
              <a:graphicData uri="http://schemas.openxmlformats.org/drawingml/2006/picture">
                <pic:pic>
                  <pic:nvPicPr>
                    <pic:cNvPr descr="image/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Опции wget -O и -P</w:t>
      </w:r>
    </w:p>
    <w:p>
      <w:pPr>
        <w:pStyle w:val="BodyText"/>
      </w:pPr>
      <w:r>
        <w:t xml:space="preserve">Опции позволяют задать имя сохраняемого файла и директорию назначения.</w:t>
      </w:r>
    </w:p>
    <w:p>
      <w:pPr>
        <w:pStyle w:val="CaptionedFigure"/>
      </w:pPr>
      <w:r>
        <w:drawing>
          <wp:inline>
            <wp:extent cx="5334000" cy="1562695"/>
            <wp:effectExtent b="0" l="0" r="0" t="0"/>
            <wp:docPr descr="Рис. 21: Тихий режим wget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2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Тихий режим wget</w:t>
      </w:r>
    </w:p>
    <w:p>
      <w:pPr>
        <w:pStyle w:val="BodyText"/>
      </w:pPr>
      <w:r>
        <w:t xml:space="preserve">Опция</w:t>
      </w:r>
      <w:r>
        <w:t xml:space="preserve"> </w:t>
      </w:r>
      <w:r>
        <w:rPr>
          <w:rStyle w:val="VerbatimChar"/>
        </w:rPr>
        <w:t xml:space="preserve">-q</w:t>
      </w:r>
      <w:r>
        <w:t xml:space="preserve"> </w:t>
      </w:r>
      <w:r>
        <w:t xml:space="preserve">отключает вывод служебной информации при загрузке.</w:t>
      </w:r>
    </w:p>
    <w:p>
      <w:pPr>
        <w:pStyle w:val="CaptionedFigure"/>
      </w:pPr>
      <w:r>
        <w:drawing>
          <wp:inline>
            <wp:extent cx="5334000" cy="1462682"/>
            <wp:effectExtent b="0" l="0" r="0" t="0"/>
            <wp:docPr descr="Рис. 22: Фильтрация по расширению" title="" id="92" name="Picture"/>
            <a:graphic>
              <a:graphicData uri="http://schemas.openxmlformats.org/drawingml/2006/picture">
                <pic:pic>
                  <pic:nvPicPr>
                    <pic:cNvPr descr="image/2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Фильтрация по расширению</w:t>
      </w:r>
    </w:p>
    <w:p>
      <w:pPr>
        <w:pStyle w:val="BodyText"/>
      </w:pPr>
      <w:r>
        <w:t xml:space="preserve">Команда загружает только те файлы, которые соответствуют заданному расширению</w:t>
      </w:r>
      <w:r>
        <w:t xml:space="preserve"> </w:t>
      </w:r>
      <w:r>
        <w:rPr>
          <w:rStyle w:val="VerbatimChar"/>
        </w:rPr>
        <w:t xml:space="preserve">.jpg</w:t>
      </w:r>
      <w:r>
        <w:t xml:space="preserve">.</w:t>
      </w:r>
    </w:p>
    <w:bookmarkEnd w:id="94"/>
    <w:bookmarkStart w:id="104" w:name="раздел-1.8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Раздел 1.8</w:t>
      </w:r>
    </w:p>
    <w:p>
      <w:pPr>
        <w:pStyle w:val="CaptionedFigure"/>
      </w:pPr>
      <w:r>
        <w:drawing>
          <wp:inline>
            <wp:extent cx="5334000" cy="1637704"/>
            <wp:effectExtent b="0" l="0" r="0" t="0"/>
            <wp:docPr descr="Рис. 23: Сравнение gzip и zip" title="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Сравнение gzip и zip</w:t>
      </w:r>
    </w:p>
    <w:p>
      <w:pPr>
        <w:pStyle w:val="BodyText"/>
      </w:pPr>
      <w:r>
        <w:t xml:space="preserve">Файлы, сжатые с помощью gzip, по умолчанию заменяют оригинал — в отличие от zip-архивов.</w:t>
      </w:r>
    </w:p>
    <w:p>
      <w:pPr>
        <w:pStyle w:val="CaptionedFigure"/>
      </w:pPr>
      <w:r>
        <w:drawing>
          <wp:inline>
            <wp:extent cx="5334000" cy="2362795"/>
            <wp:effectExtent b="0" l="0" r="0" t="0"/>
            <wp:docPr descr="Рис. 24: Архивация директорий" title="" id="99" name="Picture"/>
            <a:graphic>
              <a:graphicData uri="http://schemas.openxmlformats.org/drawingml/2006/picture">
                <pic:pic>
                  <pic:nvPicPr>
                    <pic:cNvPr descr="image/2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Архивация директорий</w:t>
      </w:r>
    </w:p>
    <w:p>
      <w:pPr>
        <w:pStyle w:val="BodyText"/>
      </w:pPr>
      <w:r>
        <w:t xml:space="preserve">Для упаковки целых директорий подходят tar и zip. Формат gzip не обладает такой возможностью.</w:t>
      </w:r>
    </w:p>
    <w:p>
      <w:pPr>
        <w:pStyle w:val="CaptionedFigure"/>
      </w:pPr>
      <w:r>
        <w:drawing>
          <wp:inline>
            <wp:extent cx="5334000" cy="2683668"/>
            <wp:effectExtent b="0" l="0" r="0" t="0"/>
            <wp:docPr descr="Рис. 25: Создание tar.bz2" title="" id="102" name="Picture"/>
            <a:graphic>
              <a:graphicData uri="http://schemas.openxmlformats.org/drawingml/2006/picture">
                <pic:pic>
                  <pic:nvPicPr>
                    <pic:cNvPr descr="image/2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tar.bz2</w:t>
      </w:r>
    </w:p>
    <w:p>
      <w:pPr>
        <w:pStyle w:val="BodyText"/>
      </w:pPr>
      <w:r>
        <w:t xml:space="preserve">Архив</w:t>
      </w:r>
      <w:r>
        <w:t xml:space="preserve"> </w:t>
      </w:r>
      <w:r>
        <w:rPr>
          <w:rStyle w:val="VerbatimChar"/>
        </w:rPr>
        <w:t xml:space="preserve">.tar.bz2</w:t>
      </w:r>
      <w:r>
        <w:t xml:space="preserve"> </w:t>
      </w:r>
      <w:r>
        <w:t xml:space="preserve">создается с помощью ключей</w:t>
      </w:r>
      <w:r>
        <w:t xml:space="preserve"> </w:t>
      </w:r>
      <w:r>
        <w:rPr>
          <w:rStyle w:val="VerbatimChar"/>
        </w:rPr>
        <w:t xml:space="preserve">c</w:t>
      </w:r>
      <w:r>
        <w:t xml:space="preserve">,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— для создания, сжатия через bzip2 и указания имени файла.</w:t>
      </w:r>
    </w:p>
    <w:bookmarkEnd w:id="104"/>
    <w:bookmarkStart w:id="114" w:name="раздел-1.9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Раздел 1.9</w:t>
      </w:r>
    </w:p>
    <w:p>
      <w:pPr>
        <w:pStyle w:val="CaptionedFigure"/>
      </w:pPr>
      <w:r>
        <w:drawing>
          <wp:inline>
            <wp:extent cx="5334000" cy="2412801"/>
            <wp:effectExtent b="0" l="0" r="0" t="0"/>
            <wp:docPr descr="Рис. 26: Маски файлов" title="" id="106" name="Picture"/>
            <a:graphic>
              <a:graphicData uri="http://schemas.openxmlformats.org/drawingml/2006/picture">
                <pic:pic>
                  <pic:nvPicPr>
                    <pic:cNvPr descr="image/26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Маски файлов</w:t>
      </w:r>
    </w:p>
    <w:p>
      <w:pPr>
        <w:pStyle w:val="BodyText"/>
      </w:pPr>
      <w:r>
        <w:t xml:space="preserve">Примеры масок охватывают имя файла и его расширение, учитывая разные варианты регистра.</w:t>
      </w:r>
    </w:p>
    <w:p>
      <w:pPr>
        <w:pStyle w:val="CaptionedFigure"/>
      </w:pPr>
      <w:r>
        <w:drawing>
          <wp:inline>
            <wp:extent cx="5334000" cy="2416968"/>
            <wp:effectExtent b="0" l="0" r="0" t="0"/>
            <wp:docPr descr="Рис. 27: Чувствительный поиск grep" title="" id="109" name="Picture"/>
            <a:graphic>
              <a:graphicData uri="http://schemas.openxmlformats.org/drawingml/2006/picture">
                <pic:pic>
                  <pic:nvPicPr>
                    <pic:cNvPr descr="image/27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Чувствительный поиск grep</w:t>
      </w:r>
    </w:p>
    <w:p>
      <w:pPr>
        <w:pStyle w:val="BodyText"/>
      </w:pPr>
      <w:r>
        <w:t xml:space="preserve">Поиск с помощью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чувствителен к регистру, поэтому отображаются только строки, содержащие</w:t>
      </w:r>
      <w:r>
        <w:t xml:space="preserve"> </w:t>
      </w:r>
      <w:r>
        <w:t xml:space="preserve">“</w:t>
      </w:r>
      <w:r>
        <w:t xml:space="preserve">world</w:t>
      </w:r>
      <w:r>
        <w:t xml:space="preserve">”</w:t>
      </w:r>
      <w:r>
        <w:t xml:space="preserve"> </w:t>
      </w:r>
      <w:r>
        <w:t xml:space="preserve">в нужной форме.</w:t>
      </w:r>
    </w:p>
    <w:p>
      <w:pPr>
        <w:pStyle w:val="CaptionedFigure"/>
      </w:pPr>
      <w:r>
        <w:drawing>
          <wp:inline>
            <wp:extent cx="5334000" cy="3218420"/>
            <wp:effectExtent b="0" l="0" r="0" t="0"/>
            <wp:docPr descr="Рис. 28: Перенаправление вывода grep" title="" id="112" name="Picture"/>
            <a:graphic>
              <a:graphicData uri="http://schemas.openxmlformats.org/drawingml/2006/picture">
                <pic:pic>
                  <pic:nvPicPr>
                    <pic:cNvPr descr="image/28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Перенаправление вывода grep</w:t>
      </w:r>
    </w:p>
    <w:p>
      <w:pPr>
        <w:pStyle w:val="BodyText"/>
      </w:pPr>
      <w:r>
        <w:t xml:space="preserve">Результат поиска</w:t>
      </w:r>
      <w:r>
        <w:t xml:space="preserve"> </w:t>
      </w:r>
      <w:r>
        <w:rPr>
          <w:rStyle w:val="VerbatimChar"/>
        </w:rPr>
        <w:t xml:space="preserve">grep "love"</w:t>
      </w:r>
      <w:r>
        <w:t xml:space="preserve"> </w:t>
      </w:r>
      <w:r>
        <w:t xml:space="preserve">перенаправляется в файл — это часть задания по работе с выводом.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прошла и изучила первый раздел курса по Linux на платформе Stepik.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- 1</dc:title>
  <dc:creator>Сокирка Анна Константиновна</dc:creator>
  <dc:language>ru-RU</dc:language>
  <cp:keywords/>
  <dcterms:created xsi:type="dcterms:W3CDTF">2025-05-12T20:42:40Z</dcterms:created>
  <dcterms:modified xsi:type="dcterms:W3CDTF">2025-05-12T20:42:40Z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iography">
    <vt:lpwstr>bib/cite.bib</vt:lpwstr>
  </property>
  <property fmtid="{D5CDD505-2E9C-101B-9397-08002B2CF9AE}" pid="5" name="ccsDelim">
    <vt:lpwstr>, </vt:lpwstr>
  </property>
  <property fmtid="{D5CDD505-2E9C-101B-9397-08002B2CF9AE}" pid="6" name="ccsLabelSep">
    <vt:lpwstr> — </vt:lpwstr>
  </property>
  <property fmtid="{D5CDD505-2E9C-101B-9397-08002B2CF9AE}" pid="7" name="ccsTemplate">
    <vt:lpwstr>iccsLabelSept</vt:lpwstr>
  </property>
  <property fmtid="{D5CDD505-2E9C-101B-9397-08002B2CF9AE}" pid="8" name="chapDelim">
    <vt:lpwstr>.</vt:lpwstr>
  </property>
  <property fmtid="{D5CDD505-2E9C-101B-9397-08002B2CF9AE}" pid="9" name="chapters">
    <vt:lpwstr>False</vt:lpwstr>
  </property>
  <property fmtid="{D5CDD505-2E9C-101B-9397-08002B2CF9AE}" pid="10" name="chaptersDepth">
    <vt:lpwstr>1</vt:lpwstr>
  </property>
  <property fmtid="{D5CDD505-2E9C-101B-9397-08002B2CF9AE}" pid="11" name="codeBlockCaptions">
    <vt:lpwstr>False</vt:lpwstr>
  </property>
  <property fmtid="{D5CDD505-2E9C-101B-9397-08002B2CF9AE}" pid="12" name="cref">
    <vt:lpwstr>False</vt:lpwstr>
  </property>
  <property fmtid="{D5CDD505-2E9C-101B-9397-08002B2CF9AE}" pid="13" name="crossrefYaml">
    <vt:lpwstr>pandoc-crossref.yaml</vt:lpwstr>
  </property>
  <property fmtid="{D5CDD505-2E9C-101B-9397-08002B2CF9AE}" pid="14" name="csl">
    <vt:lpwstr>pandoc/csl/gost-r-7-0-5-2008-numeric.csl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Рис.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ingTemplate">
    <vt:lpwstr>listingTitle ititleDelim t</vt:lpwstr>
  </property>
  <property fmtid="{D5CDD505-2E9C-101B-9397-08002B2CF9AE}" pid="38" name="listingTitle">
    <vt:lpwstr>Listing</vt:lpwstr>
  </property>
  <property fmtid="{D5CDD505-2E9C-101B-9397-08002B2CF9AE}" pid="39" name="listings">
    <vt:lpwstr>False</vt:lpwstr>
  </property>
  <property fmtid="{D5CDD505-2E9C-101B-9397-08002B2CF9AE}" pid="40" name="lof">
    <vt:lpwstr>True</vt:lpwstr>
  </property>
  <property fmtid="{D5CDD505-2E9C-101B-9397-08002B2CF9AE}" pid="41" name="lofItemTemplate">
    <vt:lpwstr>lofItemTitleilistItemTitleDelimt </vt:lpwstr>
  </property>
  <property fmtid="{D5CDD505-2E9C-101B-9397-08002B2CF9AE}" pid="42" name="lofItemTitle">
    <vt:lpwstr/>
  </property>
  <property fmtid="{D5CDD505-2E9C-101B-9397-08002B2CF9AE}" pid="43" name="lofTitle">
    <vt:lpwstr>Список иллюстраций</vt:lpwstr>
  </property>
  <property fmtid="{D5CDD505-2E9C-101B-9397-08002B2CF9AE}" pid="44" name="lolItemTemplate">
    <vt:lpwstr>lolItemTitleilistItemTitleDelimt </vt:lpwstr>
  </property>
  <property fmtid="{D5CDD505-2E9C-101B-9397-08002B2CF9AE}" pid="45" name="lolItemTitle">
    <vt:lpwstr/>
  </property>
  <property fmtid="{D5CDD505-2E9C-101B-9397-08002B2CF9AE}" pid="46" name="lolTitle">
    <vt:lpwstr>List of Listings</vt:lpwstr>
  </property>
  <property fmtid="{D5CDD505-2E9C-101B-9397-08002B2CF9AE}" pid="47" name="lot">
    <vt:lpwstr>True</vt:lpwstr>
  </property>
  <property fmtid="{D5CDD505-2E9C-101B-9397-08002B2CF9AE}" pid="48" name="lotItemTemplate">
    <vt:lpwstr>lotItemTitleilistItemTitleDelimt </vt:lpwstr>
  </property>
  <property fmtid="{D5CDD505-2E9C-101B-9397-08002B2CF9AE}" pid="49" name="lotItemTitle">
    <vt:lpwstr/>
  </property>
  <property fmtid="{D5CDD505-2E9C-101B-9397-08002B2CF9AE}" pid="50" name="lotTitle">
    <vt:lpwstr>Список таблиц</vt:lpwstr>
  </property>
  <property fmtid="{D5CDD505-2E9C-101B-9397-08002B2CF9AE}" pid="51" name="lstLabels">
    <vt:lpwstr>arabic</vt:lpwstr>
  </property>
  <property fmtid="{D5CDD505-2E9C-101B-9397-08002B2CF9AE}" pid="52" name="lstPrefix">
    <vt:lpwstr/>
  </property>
  <property fmtid="{D5CDD505-2E9C-101B-9397-08002B2CF9AE}" pid="53" name="lstPrefixTemplate">
    <vt:lpwstr>p i</vt:lpwstr>
  </property>
  <property fmtid="{D5CDD505-2E9C-101B-9397-08002B2CF9AE}" pid="54" name="mainfont">
    <vt:lpwstr>IBM Plex Serif</vt:lpwstr>
  </property>
  <property fmtid="{D5CDD505-2E9C-101B-9397-08002B2CF9AE}" pid="55" name="mainfontoptions">
    <vt:lpwstr>Ligatures=Common,Ligatures=TeX,Scale=0.94</vt:lpwstr>
  </property>
  <property fmtid="{D5CDD505-2E9C-101B-9397-08002B2CF9AE}" pid="56" name="monofont">
    <vt:lpwstr>IBM Plex Mono</vt:lpwstr>
  </property>
  <property fmtid="{D5CDD505-2E9C-101B-9397-08002B2CF9AE}" pid="57" name="monofontoptions">
    <vt:lpwstr>Scale=MatchLowercase,Scale=0.94,FakeStretch=0.9</vt:lpwstr>
  </property>
  <property fmtid="{D5CDD505-2E9C-101B-9397-08002B2CF9AE}" pid="58" name="nameInLink">
    <vt:lpwstr>False</vt:lpwstr>
  </property>
  <property fmtid="{D5CDD505-2E9C-101B-9397-08002B2CF9AE}" pid="59" name="numberSections">
    <vt:lpwstr>False</vt:lpwstr>
  </property>
  <property fmtid="{D5CDD505-2E9C-101B-9397-08002B2CF9AE}" pid="60" name="pairDelim">
    <vt:lpwstr>, </vt:lpwstr>
  </property>
  <property fmtid="{D5CDD505-2E9C-101B-9397-08002B2CF9AE}" pid="61" name="papersize">
    <vt:lpwstr>a4</vt:lpwstr>
  </property>
  <property fmtid="{D5CDD505-2E9C-101B-9397-08002B2CF9AE}" pid="62" name="polyglossia-lang">
    <vt:lpwstr/>
  </property>
  <property fmtid="{D5CDD505-2E9C-101B-9397-08002B2CF9AE}" pid="63" name="polyglossia-otherlangs">
    <vt:lpwstr/>
  </property>
  <property fmtid="{D5CDD505-2E9C-101B-9397-08002B2CF9AE}" pid="64" name="rangeDelim">
    <vt:lpwstr>-</vt:lpwstr>
  </property>
  <property fmtid="{D5CDD505-2E9C-101B-9397-08002B2CF9AE}" pid="65" name="refDelim">
    <vt:lpwstr>, </vt:lpwstr>
  </property>
  <property fmtid="{D5CDD505-2E9C-101B-9397-08002B2CF9AE}" pid="66" name="refIndexTemplate">
    <vt:lpwstr>isuf</vt:lpwstr>
  </property>
  <property fmtid="{D5CDD505-2E9C-101B-9397-08002B2CF9AE}" pid="67" name="romanfont">
    <vt:lpwstr>IBM Plex Serif</vt:lpwstr>
  </property>
  <property fmtid="{D5CDD505-2E9C-101B-9397-08002B2CF9AE}" pid="68" name="sansfont">
    <vt:lpwstr>IBM Plex Sans</vt:lpwstr>
  </property>
  <property fmtid="{D5CDD505-2E9C-101B-9397-08002B2CF9AE}" pid="69" name="secHeaderDelim">
    <vt:lpwstr> </vt:lpwstr>
  </property>
  <property fmtid="{D5CDD505-2E9C-101B-9397-08002B2CF9AE}" pid="70" name="secHeaderTemplate">
    <vt:lpwstr>isecHeaderDelim[n]t</vt:lpwstr>
  </property>
  <property fmtid="{D5CDD505-2E9C-101B-9397-08002B2CF9AE}" pid="71" name="secLabels">
    <vt:lpwstr>arabic</vt:lpwstr>
  </property>
  <property fmtid="{D5CDD505-2E9C-101B-9397-08002B2CF9AE}" pid="72" name="secPrefix">
    <vt:lpwstr/>
  </property>
  <property fmtid="{D5CDD505-2E9C-101B-9397-08002B2CF9AE}" pid="73" name="secPrefixTemplate">
    <vt:lpwstr>p i</vt:lpwstr>
  </property>
  <property fmtid="{D5CDD505-2E9C-101B-9397-08002B2CF9AE}" pid="74" name="sectionsDepth">
    <vt:lpwstr>0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">
    <vt:lpwstr>Выполнение внешнего курса. Основы Linux. Раздел 1</vt:lpwstr>
  </property>
  <property fmtid="{D5CDD505-2E9C-101B-9397-08002B2CF9AE}" pid="81" name="tableEqns">
    <vt:lpwstr>False</vt:lpwstr>
  </property>
  <property fmtid="{D5CDD505-2E9C-101B-9397-08002B2CF9AE}" pid="82" name="tableTemplate">
    <vt:lpwstr>tableTitle ititleDelim t</vt:lpwstr>
  </property>
  <property fmtid="{D5CDD505-2E9C-101B-9397-08002B2CF9AE}" pid="83" name="tableTitle">
    <vt:lpwstr>Таблица</vt:lpwstr>
  </property>
  <property fmtid="{D5CDD505-2E9C-101B-9397-08002B2CF9AE}" pid="84" name="tblLabels">
    <vt:lpwstr>arabic</vt:lpwstr>
  </property>
  <property fmtid="{D5CDD505-2E9C-101B-9397-08002B2CF9AE}" pid="85" name="tblPrefix">
    <vt:lpwstr/>
  </property>
  <property fmtid="{D5CDD505-2E9C-101B-9397-08002B2CF9AE}" pid="86" name="tblPrefixTemplate">
    <vt:lpwstr>p i</vt:lpwstr>
  </property>
  <property fmtid="{D5CDD505-2E9C-101B-9397-08002B2CF9AE}" pid="87" name="titleDelim">
    <vt:lpwstr>:</vt:lpwstr>
  </property>
  <property fmtid="{D5CDD505-2E9C-101B-9397-08002B2CF9AE}" pid="88" name="toc">
    <vt:lpwstr>True</vt:lpwstr>
  </property>
  <property fmtid="{D5CDD505-2E9C-101B-9397-08002B2CF9AE}" pid="89" name="toc-depth">
    <vt:lpwstr>2</vt:lpwstr>
  </property>
  <property fmtid="{D5CDD505-2E9C-101B-9397-08002B2CF9AE}" pid="90" name="toc-title">
    <vt:lpwstr>Содержание</vt:lpwstr>
  </property>
</Properties>
</file>