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Раздел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Основы</w:t>
      </w:r>
      <w:r>
        <w:t xml:space="preserve"> </w:t>
      </w:r>
      <w:r>
        <w:t xml:space="preserve">Linux.</w:t>
      </w:r>
      <w:r>
        <w:t xml:space="preserve"> </w:t>
      </w:r>
      <w:r>
        <w:t xml:space="preserve">Раздел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Сокирка</w:t>
      </w:r>
      <w:r>
        <w:t xml:space="preserve"> </w:t>
      </w:r>
      <w:r>
        <w:t xml:space="preserve">Анна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общее представление о системе Linux и её базовых возможностях.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Пройти все предложенные тесты и упражнения в первом разделе курса.</w:t>
      </w:r>
    </w:p>
    <w:bookmarkEnd w:id="21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91" w:name="скриншоты-и-поясн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Скриншоты и пояснения</w:t>
      </w:r>
    </w:p>
    <w:p>
      <w:pPr>
        <w:pStyle w:val="CaptionedFigure"/>
      </w:pPr>
      <w:r>
        <w:drawing>
          <wp:inline>
            <wp:extent cx="5334000" cy="2140888"/>
            <wp:effectExtent b="0" l="0" r="0" t="0"/>
            <wp:docPr descr="Рис. 1: Облачные сервис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Облачные сервисы</w:t>
      </w:r>
    </w:p>
    <w:p>
      <w:pPr>
        <w:pStyle w:val="CaptionedFigure"/>
      </w:pPr>
      <w:r>
        <w:drawing>
          <wp:inline>
            <wp:extent cx="5334000" cy="2024062"/>
            <wp:effectExtent b="0" l="0" r="0" t="0"/>
            <wp:docPr descr="Рис. 2: SSH-ключ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SSH-ключи</w:t>
      </w:r>
    </w:p>
    <w:p>
      <w:pPr>
        <w:pStyle w:val="CaptionedFigure"/>
      </w:pPr>
      <w:r>
        <w:drawing>
          <wp:inline>
            <wp:extent cx="5334000" cy="2489499"/>
            <wp:effectExtent b="0" l="0" r="0" t="0"/>
            <wp:docPr descr="Рис. 3: scp -r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scp -r</w:t>
      </w:r>
    </w:p>
    <w:p>
      <w:pPr>
        <w:pStyle w:val="CaptionedFigure"/>
      </w:pPr>
      <w:r>
        <w:drawing>
          <wp:inline>
            <wp:extent cx="5334000" cy="2205014"/>
            <wp:effectExtent b="0" l="0" r="0" t="0"/>
            <wp:docPr descr="Рис. 4: apt-get update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apt-get update</w:t>
      </w:r>
    </w:p>
    <w:p>
      <w:pPr>
        <w:pStyle w:val="CaptionedFigure"/>
      </w:pPr>
      <w:r>
        <w:drawing>
          <wp:inline>
            <wp:extent cx="5334000" cy="2246840"/>
            <wp:effectExtent b="0" l="0" r="0" t="0"/>
            <wp:docPr descr="Рис. 5: FileZilla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FileZilla</w:t>
      </w:r>
    </w:p>
    <w:p>
      <w:pPr>
        <w:pStyle w:val="CaptionedFigure"/>
      </w:pPr>
      <w:r>
        <w:drawing>
          <wp:inline>
            <wp:extent cx="5334000" cy="2265492"/>
            <wp:effectExtent b="0" l="0" r="0" t="0"/>
            <wp:docPr descr="Рис. 6: Графические приложен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Графические приложения</w:t>
      </w:r>
    </w:p>
    <w:p>
      <w:pPr>
        <w:pStyle w:val="CaptionedFigure"/>
      </w:pPr>
      <w:r>
        <w:drawing>
          <wp:inline>
            <wp:extent cx="5334000" cy="2395955"/>
            <wp:effectExtent b="0" l="0" r="0" t="0"/>
            <wp:docPr descr="Рис. 7: man и –hel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man и –help</w:t>
      </w:r>
    </w:p>
    <w:p>
      <w:pPr>
        <w:pStyle w:val="CaptionedFigure"/>
      </w:pPr>
      <w:r>
        <w:drawing>
          <wp:inline>
            <wp:extent cx="5334000" cy="3106615"/>
            <wp:effectExtent b="0" l="0" r="0" t="0"/>
            <wp:docPr descr="Рис. 8: FastQC и fastq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FastQC и fastq</w:t>
      </w:r>
    </w:p>
    <w:p>
      <w:pPr>
        <w:pStyle w:val="CaptionedFigure"/>
      </w:pPr>
      <w:r>
        <w:drawing>
          <wp:inline>
            <wp:extent cx="5334000" cy="3218208"/>
            <wp:effectExtent b="0" l="0" r="0" t="0"/>
            <wp:docPr descr="Рис. 9: ClustalW -alig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ClustalW -align</w:t>
      </w:r>
    </w:p>
    <w:p>
      <w:pPr>
        <w:pStyle w:val="CaptionedFigure"/>
      </w:pPr>
      <w:r>
        <w:drawing>
          <wp:inline>
            <wp:extent cx="5334000" cy="2617113"/>
            <wp:effectExtent b="0" l="0" r="0" t="0"/>
            <wp:docPr descr="Рис. 10: jobs и фоновые процессы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jobs и фоновые процессы</w:t>
      </w:r>
    </w:p>
    <w:p>
      <w:pPr>
        <w:pStyle w:val="CaptionedFigure"/>
      </w:pPr>
      <w:r>
        <w:drawing>
          <wp:inline>
            <wp:extent cx="5334000" cy="2030512"/>
            <wp:effectExtent b="0" l="0" r="0" t="0"/>
            <wp:docPr descr="Рис. 11: PID в jobs, ps, top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PID в jobs, ps, top</w:t>
      </w:r>
    </w:p>
    <w:p>
      <w:pPr>
        <w:pStyle w:val="CaptionedFigure"/>
      </w:pPr>
      <w:r>
        <w:drawing>
          <wp:inline>
            <wp:extent cx="5334000" cy="1844657"/>
            <wp:effectExtent b="0" l="0" r="0" t="0"/>
            <wp:docPr descr="Рис. 12: kill -9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kill -9</w:t>
      </w:r>
    </w:p>
    <w:p>
      <w:pPr>
        <w:pStyle w:val="CaptionedFigure"/>
      </w:pPr>
      <w:r>
        <w:drawing>
          <wp:inline>
            <wp:extent cx="5334000" cy="2011656"/>
            <wp:effectExtent b="0" l="0" r="0" t="0"/>
            <wp:docPr descr="Рис. 13: SIGTERM и завершение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SIGTERM и завершение</w:t>
      </w:r>
    </w:p>
    <w:p>
      <w:pPr>
        <w:pStyle w:val="CaptionedFigure"/>
      </w:pPr>
      <w:r>
        <w:drawing>
          <wp:inline>
            <wp:extent cx="5334000" cy="3074655"/>
            <wp:effectExtent b="0" l="0" r="0" t="0"/>
            <wp:docPr descr="Рис. 14: SIGSTOP и CPU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SIGSTOP и CPU</w:t>
      </w:r>
    </w:p>
    <w:p>
      <w:pPr>
        <w:pStyle w:val="CaptionedFigure"/>
      </w:pPr>
      <w:r>
        <w:drawing>
          <wp:inline>
            <wp:extent cx="5334000" cy="2871172"/>
            <wp:effectExtent b="0" l="0" r="0" t="0"/>
            <wp:docPr descr="Рис. 15: Память при остановк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Память при остановке</w:t>
      </w:r>
    </w:p>
    <w:p>
      <w:pPr>
        <w:pStyle w:val="CaptionedFigure"/>
      </w:pPr>
      <w:r>
        <w:drawing>
          <wp:inline>
            <wp:extent cx="5334000" cy="2822058"/>
            <wp:effectExtent b="0" l="0" r="0" t="0"/>
            <wp:docPr descr="Рис. 16: Один поток нельзя завершить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Один поток нельзя завершить</w:t>
      </w:r>
    </w:p>
    <w:p>
      <w:pPr>
        <w:pStyle w:val="CaptionedFigure"/>
      </w:pPr>
      <w:r>
        <w:drawing>
          <wp:inline>
            <wp:extent cx="5334000" cy="2332357"/>
            <wp:effectExtent b="0" l="0" r="0" t="0"/>
            <wp:docPr descr="Рис. 17: Параллелизм bowtie2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Параллелизм bowtie2</w:t>
      </w:r>
    </w:p>
    <w:p>
      <w:pPr>
        <w:pStyle w:val="CaptionedFigure"/>
      </w:pPr>
      <w:r>
        <w:drawing>
          <wp:inline>
            <wp:extent cx="5334000" cy="3115815"/>
            <wp:effectExtent b="0" l="0" r="0" t="0"/>
            <wp:docPr descr="Рис. 18: stderr в файл, многопоточность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stderr в файл, многопоточность</w:t>
      </w:r>
    </w:p>
    <w:p>
      <w:pPr>
        <w:pStyle w:val="CaptionedFigure"/>
      </w:pPr>
      <w:r>
        <w:drawing>
          <wp:inline>
            <wp:extent cx="5334000" cy="2215456"/>
            <wp:effectExtent b="0" l="0" r="0" t="0"/>
            <wp:docPr descr="Рис. 19: fg во второй вкладке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fg во второй вкладке</w:t>
      </w:r>
    </w:p>
    <w:p>
      <w:pPr>
        <w:pStyle w:val="CaptionedFigure"/>
      </w:pPr>
      <w:r>
        <w:drawing>
          <wp:inline>
            <wp:extent cx="5334000" cy="2187417"/>
            <wp:effectExtent b="0" l="0" r="0" t="0"/>
            <wp:docPr descr="Рис. 20: exit в последней вкладке tmux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exit в последней вкладке tmux</w:t>
      </w:r>
    </w:p>
    <w:p>
      <w:pPr>
        <w:pStyle w:val="CaptionedFigure"/>
      </w:pPr>
      <w:r>
        <w:drawing>
          <wp:inline>
            <wp:extent cx="5334000" cy="2400993"/>
            <wp:effectExtent b="0" l="0" r="0" t="0"/>
            <wp:docPr descr="Рис. 21: Закрытие терминала и trnux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Закрытие терминала и trnux</w:t>
      </w:r>
    </w:p>
    <w:p>
      <w:pPr>
        <w:pStyle w:val="CaptionedFigure"/>
      </w:pPr>
      <w:r>
        <w:drawing>
          <wp:inline>
            <wp:extent cx="5334000" cy="2119470"/>
            <wp:effectExtent b="0" l="0" r="0" t="0"/>
            <wp:docPr descr="Рис. 22: Процессы и вкладка в trnux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Процессы и вкладка в trnux</w:t>
      </w:r>
    </w:p>
    <w:p>
      <w:pPr>
        <w:pStyle w:val="CaptionedFigure"/>
      </w:pPr>
      <w:r>
        <w:drawing>
          <wp:inline>
            <wp:extent cx="5334000" cy="2547976"/>
            <wp:effectExtent b="0" l="0" r="0" t="0"/>
            <wp:docPr descr="Рис. 23: Переименование вкладки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Переименование вкладки</w:t>
      </w:r>
    </w:p>
    <w:bookmarkEnd w:id="91"/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прошла и изучила первый раздел курса по Linux на платформе Stepik.</w:t>
      </w:r>
      <w:r>
        <w:br/>
      </w:r>
      <w:r>
        <w:t xml:space="preserve">Скриншоты иллюстрируют ключевые моменты работы с терминалом, процессами, утилитами и файлами в Linux-среде.</w:t>
      </w:r>
      <w:r>
        <w:br/>
      </w:r>
      <w:r>
        <w:t xml:space="preserve">Дополнительно изучены</w:t>
      </w:r>
      <w:r>
        <w:t xml:space="preserve"> </w:t>
      </w:r>
      <w:r>
        <w:rPr>
          <w:rStyle w:val="VerbatimChar"/>
        </w:rPr>
        <w:t xml:space="preserve">tmux/trnux</w:t>
      </w:r>
      <w:r>
        <w:t xml:space="preserve">,</w:t>
      </w:r>
      <w:r>
        <w:t xml:space="preserve"> </w:t>
      </w:r>
      <w:r>
        <w:rPr>
          <w:rStyle w:val="VerbatimChar"/>
        </w:rPr>
        <w:t xml:space="preserve">bowtie2</w:t>
      </w:r>
      <w:r>
        <w:t xml:space="preserve">, FastQC и передача данных по SSH.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- 2</dc:title>
  <dc:creator>Сокирка Анна Константиновна</dc:creator>
  <dc:language>ru-RU</dc:language>
  <cp:keywords/>
  <dcterms:created xsi:type="dcterms:W3CDTF">2025-05-14T19:41:01Z</dcterms:created>
  <dcterms:modified xsi:type="dcterms:W3CDTF">2025-05-14T19:41:01Z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bib/cite.bib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pandoc/csl/gost-r-7-0-5-2008-numeric.csl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temTitleDelim">
    <vt:lpwstr>.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ItemTemplate">
    <vt:lpwstr>lofItemTitleilistItemTitleDelimt </vt:lpwstr>
  </property>
  <property fmtid="{D5CDD505-2E9C-101B-9397-08002B2CF9AE}" pid="42" name="lofItemTitle">
    <vt:lpwstr/>
  </property>
  <property fmtid="{D5CDD505-2E9C-101B-9397-08002B2CF9AE}" pid="43" name="lofTitle">
    <vt:lpwstr>Список иллюстраций</vt:lpwstr>
  </property>
  <property fmtid="{D5CDD505-2E9C-101B-9397-08002B2CF9AE}" pid="44" name="lolItemTemplate">
    <vt:lpwstr>lolItemTitleilistItemTitleDelimt </vt:lpwstr>
  </property>
  <property fmtid="{D5CDD505-2E9C-101B-9397-08002B2CF9AE}" pid="45" name="lolItemTitle">
    <vt:lpwstr/>
  </property>
  <property fmtid="{D5CDD505-2E9C-101B-9397-08002B2CF9AE}" pid="46" name="lolTitle">
    <vt:lpwstr>List of Listings</vt:lpwstr>
  </property>
  <property fmtid="{D5CDD505-2E9C-101B-9397-08002B2CF9AE}" pid="47" name="lot">
    <vt:lpwstr>True</vt:lpwstr>
  </property>
  <property fmtid="{D5CDD505-2E9C-101B-9397-08002B2CF9AE}" pid="48" name="lotItemTemplate">
    <vt:lpwstr>lotItemTitleilistItemTitleDelimt </vt:lpwstr>
  </property>
  <property fmtid="{D5CDD505-2E9C-101B-9397-08002B2CF9AE}" pid="49" name="lotItemTitle">
    <vt:lpwstr/>
  </property>
  <property fmtid="{D5CDD505-2E9C-101B-9397-08002B2CF9AE}" pid="50" name="lotTitle">
    <vt:lpwstr>Список таблиц</vt:lpwstr>
  </property>
  <property fmtid="{D5CDD505-2E9C-101B-9397-08002B2CF9AE}" pid="51" name="lstLabels">
    <vt:lpwstr>arabic</vt:lpwstr>
  </property>
  <property fmtid="{D5CDD505-2E9C-101B-9397-08002B2CF9AE}" pid="52" name="lstPrefix">
    <vt:lpwstr/>
  </property>
  <property fmtid="{D5CDD505-2E9C-101B-9397-08002B2CF9AE}" pid="53" name="lstPrefixTemplate">
    <vt:lpwstr>p i</vt:lpwstr>
  </property>
  <property fmtid="{D5CDD505-2E9C-101B-9397-08002B2CF9AE}" pid="54" name="mainfont">
    <vt:lpwstr>IBM Plex Serif</vt:lpwstr>
  </property>
  <property fmtid="{D5CDD505-2E9C-101B-9397-08002B2CF9AE}" pid="55" name="mainfontoptions">
    <vt:lpwstr>Ligatures=Common,Ligatures=TeX,Scale=0.94</vt:lpwstr>
  </property>
  <property fmtid="{D5CDD505-2E9C-101B-9397-08002B2CF9AE}" pid="56" name="monofont">
    <vt:lpwstr>IBM Plex Mono</vt:lpwstr>
  </property>
  <property fmtid="{D5CDD505-2E9C-101B-9397-08002B2CF9AE}" pid="57" name="monofontoptions">
    <vt:lpwstr>Scale=MatchLowercase,Scale=0.94,FakeStretch=0.9</vt:lpwstr>
  </property>
  <property fmtid="{D5CDD505-2E9C-101B-9397-08002B2CF9AE}" pid="58" name="nameInLink">
    <vt:lpwstr>False</vt:lpwstr>
  </property>
  <property fmtid="{D5CDD505-2E9C-101B-9397-08002B2CF9AE}" pid="59" name="numberSections">
    <vt:lpwstr>False</vt:lpwstr>
  </property>
  <property fmtid="{D5CDD505-2E9C-101B-9397-08002B2CF9AE}" pid="60" name="pairDelim">
    <vt:lpwstr>, </vt:lpwstr>
  </property>
  <property fmtid="{D5CDD505-2E9C-101B-9397-08002B2CF9AE}" pid="61" name="papersize">
    <vt:lpwstr>a4</vt:lpwstr>
  </property>
  <property fmtid="{D5CDD505-2E9C-101B-9397-08002B2CF9AE}" pid="62" name="polyglossia-lang">
    <vt:lpwstr/>
  </property>
  <property fmtid="{D5CDD505-2E9C-101B-9397-08002B2CF9AE}" pid="63" name="polyglossia-otherlangs">
    <vt:lpwstr/>
  </property>
  <property fmtid="{D5CDD505-2E9C-101B-9397-08002B2CF9AE}" pid="64" name="rangeDelim">
    <vt:lpwstr>-</vt:lpwstr>
  </property>
  <property fmtid="{D5CDD505-2E9C-101B-9397-08002B2CF9AE}" pid="65" name="refDelim">
    <vt:lpwstr>, </vt:lpwstr>
  </property>
  <property fmtid="{D5CDD505-2E9C-101B-9397-08002B2CF9AE}" pid="66" name="refIndexTemplate">
    <vt:lpwstr>isuf</vt:lpwstr>
  </property>
  <property fmtid="{D5CDD505-2E9C-101B-9397-08002B2CF9AE}" pid="67" name="romanfont">
    <vt:lpwstr>IBM Plex Serif</vt:lpwstr>
  </property>
  <property fmtid="{D5CDD505-2E9C-101B-9397-08002B2CF9AE}" pid="68" name="sansfont">
    <vt:lpwstr>IBM Plex Sans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Выполнение внешнего курса. Основы Linux. Раздел 1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