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Раздел</w:t>
      </w:r>
      <w:r>
        <w:t xml:space="preserve"> </w:t>
      </w:r>
      <w:r>
        <w:t xml:space="preserve">-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Выполнение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курса.</w:t>
      </w:r>
      <w:r>
        <w:t xml:space="preserve"> </w:t>
      </w:r>
      <w:r>
        <w:t xml:space="preserve">Основы</w:t>
      </w:r>
      <w:r>
        <w:t xml:space="preserve"> </w:t>
      </w:r>
      <w:r>
        <w:t xml:space="preserve">Linux.</w:t>
      </w:r>
      <w:r>
        <w:t xml:space="preserve"> </w:t>
      </w:r>
      <w:r>
        <w:t xml:space="preserve">Раздел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Сокирка</w:t>
      </w:r>
      <w:r>
        <w:t xml:space="preserve"> </w:t>
      </w:r>
      <w:r>
        <w:t xml:space="preserve">Анна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общее представление о системе Linux и её базовых возможностях.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Пройти все предложенные тесты и упражнения в первом разделе курса.</w:t>
      </w:r>
    </w:p>
    <w:bookmarkEnd w:id="21"/>
    <w:bookmarkStart w:id="15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50" w:name="скриншоты-и-поясн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Скриншоты и пояснения</w:t>
      </w:r>
    </w:p>
    <w:p>
      <w:pPr>
        <w:pStyle w:val="FirstParagraph"/>
      </w:pPr>
      <w:bookmarkStart w:id="25" w:name="fig:001"/>
      <w:r>
        <w:drawing>
          <wp:inline>
            <wp:extent cx="5334000" cy="2414192"/>
            <wp:effectExtent b="0" l="0" r="0" t="0"/>
            <wp:docPr descr="Выход из Vim без сохранен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4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Скриншот демонстрирует, как выйти из редактора Vim без сохранения изменений. Для этого нужно нажать Esc, затем ввести команду :q!.</w:t>
      </w:r>
    </w:p>
    <w:p>
      <w:pPr>
        <w:pStyle w:val="BodyText"/>
      </w:pPr>
      <w:bookmarkStart w:id="29" w:name="fig:002"/>
      <w:r>
        <w:drawing>
          <wp:inline>
            <wp:extent cx="5334000" cy="3258713"/>
            <wp:effectExtent b="0" l="0" r="0" t="0"/>
            <wp:docPr descr="Замена и повторение строки в Vim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8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Демонстрируются команды Vim для удаления и повторения строк с помощью комбинаций команд d2wwywPp и ddithree four four four five</w:t>
      </w:r>
      <w:r>
        <w:t xml:space="preserve">.</w:t>
      </w:r>
    </w:p>
    <w:p>
      <w:pPr>
        <w:pStyle w:val="BodyText"/>
      </w:pPr>
      <w:bookmarkStart w:id="33" w:name="fig:003"/>
      <w:r>
        <w:drawing>
          <wp:inline>
            <wp:extent cx="5334000" cy="2690264"/>
            <wp:effectExtent b="0" l="0" r="0" t="0"/>
            <wp:docPr descr="Замена в Vim: Windows на Linux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0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На этом скриншоте показано, как заменить первое вхождение слова</w:t>
      </w:r>
      <w:r>
        <w:t xml:space="preserve"> </w:t>
      </w:r>
      <w:r>
        <w:t xml:space="preserve">“</w:t>
      </w:r>
      <w:r>
        <w:t xml:space="preserve">Windows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Linux</w:t>
      </w:r>
      <w:r>
        <w:t xml:space="preserve">”</w:t>
      </w:r>
      <w:r>
        <w:t xml:space="preserve"> </w:t>
      </w:r>
      <w:r>
        <w:t xml:space="preserve">с помощью команды Vim :%s/Windows/Linux.</w:t>
      </w:r>
    </w:p>
    <w:p>
      <w:pPr>
        <w:pStyle w:val="BodyText"/>
      </w:pPr>
      <w:bookmarkStart w:id="37" w:name="fig:004"/>
      <w:r>
        <w:drawing>
          <wp:inline>
            <wp:extent cx="5334000" cy="3098963"/>
            <wp:effectExtent b="0" l="0" r="0" t="0"/>
            <wp:docPr descr="Режим Visual в Vim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8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Скриншот иллюстрирует работу в режиме Visual в Vim. Команды d и y позволяют удалять и копировать выделенные фрагменты текста.</w:t>
      </w:r>
    </w:p>
    <w:p>
      <w:pPr>
        <w:pStyle w:val="BodyText"/>
      </w:pPr>
      <w:bookmarkStart w:id="41" w:name="fig:005"/>
      <w:r>
        <w:drawing>
          <wp:inline>
            <wp:extent cx="5334000" cy="2662965"/>
            <wp:effectExtent b="0" l="0" r="0" t="0"/>
            <wp:docPr descr="История команд оболочк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Поясняется, что в историю оболочки попадают только команды из текущей оболочки. В данном примере показано использование набора C.</w:t>
      </w:r>
    </w:p>
    <w:p>
      <w:pPr>
        <w:pStyle w:val="BodyText"/>
      </w:pPr>
      <w:bookmarkStart w:id="45" w:name="fig:006"/>
      <w:r>
        <w:drawing>
          <wp:inline>
            <wp:extent cx="5334000" cy="2778125"/>
            <wp:effectExtent b="0" l="0" r="0" t="0"/>
            <wp:docPr descr="Абсолютный путь к файлу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Пример вывода абсолютного пути к файлу: /home/bi/file1.txt, который был создан в процессе работы.</w:t>
      </w:r>
    </w:p>
    <w:p>
      <w:pPr>
        <w:pStyle w:val="BodyText"/>
      </w:pPr>
      <w:bookmarkStart w:id="49" w:name="fig:007"/>
      <w:r>
        <w:drawing>
          <wp:inline>
            <wp:extent cx="5334000" cy="2785742"/>
            <wp:effectExtent b="0" l="0" r="0" t="0"/>
            <wp:docPr descr="Примеры допустимых имен переменных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Демонстрируется правильное использование имен переменных: variable, variable123, _variable.</w:t>
      </w:r>
    </w:p>
    <w:p>
      <w:pPr>
        <w:pStyle w:val="BodyText"/>
      </w:pPr>
      <w:bookmarkStart w:id="53" w:name="fig:008"/>
      <w:r>
        <w:drawing>
          <wp:inline>
            <wp:extent cx="5334000" cy="3127375"/>
            <wp:effectExtent b="0" l="0" r="0" t="0"/>
            <wp:docPr descr="Вывод аргументов в скрипте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Скрипт выводит аргументы с помощью команды echo</w:t>
      </w:r>
      <w:r>
        <w:t xml:space="preserve"> </w:t>
      </w:r>
      <w:r>
        <w:t xml:space="preserve">“</w:t>
      </w:r>
      <w:r>
        <w:t xml:space="preserve">Arguments are: $1=$1 $2=$2</w:t>
      </w:r>
      <w:r>
        <w:t xml:space="preserve">”</w:t>
      </w:r>
      <w:r>
        <w:t xml:space="preserve">.</w:t>
      </w:r>
    </w:p>
    <w:p>
      <w:pPr>
        <w:pStyle w:val="BodyText"/>
      </w:pPr>
      <w:bookmarkStart w:id="57" w:name="fig:009"/>
      <w:r>
        <w:drawing>
          <wp:inline>
            <wp:extent cx="5334000" cy="3153408"/>
            <wp:effectExtent b="0" l="0" r="0" t="0"/>
            <wp:docPr descr="Условия, всегда выводящие True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3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Пример условий, которые всегда выводят True, такие как $# -ge 0 и -z ““.</w:t>
      </w:r>
    </w:p>
    <w:p>
      <w:pPr>
        <w:pStyle w:val="BodyText"/>
      </w:pPr>
      <w:bookmarkStart w:id="61" w:name="fig:010"/>
      <w:r>
        <w:drawing>
          <wp:inline>
            <wp:extent cx="5334000" cy="3133969"/>
            <wp:effectExtent b="0" l="0" r="0" t="0"/>
            <wp:docPr descr="Ошибки в скрипте с переменной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3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Пример скрипта с ошибками в скобках, где при var=3 ничего не происходит, а при var=5 выводится one.</w:t>
      </w:r>
    </w:p>
    <w:p>
      <w:pPr>
        <w:pStyle w:val="BodyText"/>
      </w:pPr>
      <w:bookmarkStart w:id="65" w:name="fig:011"/>
      <w:r>
        <w:drawing>
          <wp:inline>
            <wp:extent cx="5334000" cy="3231802"/>
            <wp:effectExtent b="0" l="0" r="0" t="0"/>
            <wp:docPr descr="Условие для вывода student(s)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Скрипт, который выводит</w:t>
      </w:r>
      <w:r>
        <w:t xml:space="preserve"> </w:t>
      </w:r>
      <w:r>
        <w:t xml:space="preserve">“</w:t>
      </w:r>
      <w:r>
        <w:t xml:space="preserve">student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students</w:t>
      </w:r>
      <w:r>
        <w:t xml:space="preserve">”</w:t>
      </w:r>
      <w:r>
        <w:t xml:space="preserve"> </w:t>
      </w:r>
      <w:r>
        <w:t xml:space="preserve">в зависимости от числа. Например, 1 студент, 2-4 студента и</w:t>
      </w:r>
      <w:r>
        <w:t xml:space="preserve"> </w:t>
      </w:r>
      <w:r>
        <w:t xml:space="preserve">“</w:t>
      </w:r>
      <w:r>
        <w:t xml:space="preserve">A lot</w:t>
      </w:r>
      <w:r>
        <w:t xml:space="preserve">”</w:t>
      </w:r>
      <w:r>
        <w:t xml:space="preserve"> </w:t>
      </w:r>
      <w:r>
        <w:t xml:space="preserve">для большего количества.</w:t>
      </w:r>
    </w:p>
    <w:p>
      <w:pPr>
        <w:pStyle w:val="BodyText"/>
      </w:pPr>
      <w:bookmarkStart w:id="69" w:name="fig:012"/>
      <w:r>
        <w:drawing>
          <wp:inline>
            <wp:extent cx="5334000" cy="1969152"/>
            <wp:effectExtent b="0" l="0" r="0" t="0"/>
            <wp:docPr descr="Цикл для вывода start и finish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Скрипт, который выводит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 </w:t>
      </w:r>
      <w:r>
        <w:t xml:space="preserve">5 раз при выполнении 5 итераций цикла.</w:t>
      </w:r>
    </w:p>
    <w:p>
      <w:pPr>
        <w:pStyle w:val="BodyText"/>
      </w:pPr>
      <w:bookmarkStart w:id="73" w:name="fig:013"/>
      <w:r>
        <w:drawing>
          <wp:inline>
            <wp:extent cx="5334000" cy="2986087"/>
            <wp:effectExtent b="0" l="0" r="0" t="0"/>
            <wp:docPr descr="Ввод имени и возраста, определение возрастной группы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Скрипт спрашивает имя и возраст пользователя, а затем определяет его возрастную группу.</w:t>
      </w:r>
    </w:p>
    <w:p>
      <w:pPr>
        <w:pStyle w:val="BodyText"/>
      </w:pPr>
      <w:bookmarkStart w:id="77" w:name="fig:014"/>
      <w:r>
        <w:drawing>
          <wp:inline>
            <wp:extent cx="5334000" cy="3364182"/>
            <wp:effectExtent b="0" l="0" r="0" t="0"/>
            <wp:docPr descr="Увеличение переменной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Скрипт увеличивает значение переменной a на b с использованием команд let a=a+b, let a=</w:t>
      </w:r>
      <m:oMath>
        <m:r>
          <m:t>a</m:t>
        </m:r>
        <m:r>
          <m:rPr>
            <m:sty m:val="p"/>
          </m:rPr>
          <m:t>+</m:t>
        </m:r>
      </m:oMath>
      <w:r>
        <w:t xml:space="preserve">b, let</w:t>
      </w:r>
      <w:r>
        <w:t xml:space="preserve"> </w:t>
      </w:r>
      <w:r>
        <w:t xml:space="preserve">“</w:t>
      </w:r>
      <w:r>
        <w:t xml:space="preserve">a=</w:t>
      </w:r>
      <m:oMath>
        <m:r>
          <m:t>a</m:t>
        </m:r>
        <m:r>
          <m:rPr>
            <m:sty m:val="p"/>
          </m:rPr>
          <m:t>+</m:t>
        </m:r>
      </m:oMath>
      <w:r>
        <w:t xml:space="preserve">b</w:t>
      </w:r>
      <w:r>
        <w:t xml:space="preserve">”</w:t>
      </w:r>
      <w:r>
        <w:t xml:space="preserve">.</w:t>
      </w:r>
    </w:p>
    <w:p>
      <w:pPr>
        <w:pStyle w:val="BodyText"/>
      </w:pPr>
      <w:bookmarkStart w:id="81" w:name="fig:015"/>
      <w:r>
        <w:drawing>
          <wp:inline>
            <wp:extent cx="5334000" cy="2603839"/>
            <wp:effectExtent b="0" l="0" r="0" t="0"/>
            <wp:docPr descr="Команда echo для вывода звёздочки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3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Пример, когда команда echo “</w:t>
      </w:r>
      <w:r>
        <w:rPr>
          <w:i/>
          <w:iCs/>
        </w:rPr>
        <w:t xml:space="preserve">pwd” выводит строку</w:t>
      </w:r>
      <w:r>
        <w:rPr>
          <w:i/>
          <w:iCs/>
        </w:rPr>
        <w:t xml:space="preserve"> </w:t>
      </w:r>
      <w:r>
        <w:t xml:space="preserve">pwd, поскольку звёздочка не интерпретируется как спецсимвол.</w:t>
      </w:r>
    </w:p>
    <w:p>
      <w:pPr>
        <w:pStyle w:val="BodyText"/>
      </w:pPr>
      <w:bookmarkStart w:id="85" w:name="fig:016"/>
      <w:r>
        <w:drawing>
          <wp:inline>
            <wp:extent cx="5334000" cy="2598274"/>
            <wp:effectExtent b="0" l="0" r="0" t="0"/>
            <wp:docPr descr="Результат выполнения 10 вызовов счетчик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После 10 вызовов переменная counter будет иметь значение c1 пусто, а c2 будет равен 110 (если переменные суммировались).</w:t>
      </w:r>
    </w:p>
    <w:p>
      <w:pPr>
        <w:pStyle w:val="BodyText"/>
      </w:pPr>
      <w:bookmarkStart w:id="89" w:name="fig:017"/>
      <w:r>
        <w:drawing>
          <wp:inline>
            <wp:extent cx="5334000" cy="3303044"/>
            <wp:effectExtent b="0" l="0" r="0" t="0"/>
            <wp:docPr descr="Нахождение НОД по алгоритму Евклид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Пример скрипта для нахождения наибольшего общего делителя (НОД) двух чисел по алгоритму Евклида.</w:t>
      </w:r>
    </w:p>
    <w:p>
      <w:pPr>
        <w:pStyle w:val="BodyText"/>
      </w:pPr>
      <w:bookmarkStart w:id="93" w:name="fig:018"/>
      <w:r>
        <w:drawing>
          <wp:inline>
            <wp:extent cx="5334000" cy="3524327"/>
            <wp:effectExtent b="0" l="0" r="0" t="0"/>
            <wp:docPr descr="Ошибки в калькуляторе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Пример сломанного калькулятора с ошибками в скобках и знаках операций.</w:t>
      </w:r>
    </w:p>
    <w:p>
      <w:pPr>
        <w:pStyle w:val="BodyText"/>
      </w:pPr>
      <w:bookmarkStart w:id="97" w:name="fig:019"/>
      <w:r>
        <w:drawing>
          <wp:inline>
            <wp:extent cx="5334000" cy="2469365"/>
            <wp:effectExtent b="0" l="0" r="0" t="0"/>
            <wp:docPr descr="Разница между find -iname и -name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Пример различия между опциями find -iname и find -name, где первая выполняет регистронезависимый поиск, а вторая — регистрозависимый.</w:t>
      </w:r>
    </w:p>
    <w:p>
      <w:pPr>
        <w:pStyle w:val="BodyText"/>
      </w:pPr>
      <w:bookmarkStart w:id="101" w:name="fig:020"/>
      <w:r>
        <w:drawing>
          <wp:inline>
            <wp:extent cx="5334000" cy="2222861"/>
            <wp:effectExtent b="0" l="0" r="0" t="0"/>
            <wp:docPr descr="Разница между -path и -name в find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Пояснение различий между опциями -path и -name в команде find, которые могут давать одинаковый результат в некоторых случаях.</w:t>
      </w:r>
    </w:p>
    <w:p>
      <w:pPr>
        <w:pStyle w:val="BodyText"/>
      </w:pPr>
      <w:bookmarkStart w:id="105" w:name="fig:021"/>
      <w:r>
        <w:drawing>
          <wp:inline>
            <wp:extent cx="5334000" cy="1974916"/>
            <wp:effectExtent b="0" l="0" r="0" t="0"/>
            <wp:docPr descr="Поиск с -mindepth 2 и -maxdepth 3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Скриншот иллюстрирует использование параметров -mindepth 2 и -maxdepth 3 в команде find, что приводит к неполному результату поиска.</w:t>
      </w:r>
    </w:p>
    <w:p>
      <w:pPr>
        <w:pStyle w:val="BodyText"/>
      </w:pPr>
      <w:bookmarkStart w:id="109" w:name="fig:022"/>
      <w:r>
        <w:drawing>
          <wp:inline>
            <wp:extent cx="5334000" cy="2148767"/>
            <wp:effectExtent b="0" l="0" r="0" t="0"/>
            <wp:docPr descr="Команды grep -A и -B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Разница между командами grep -A и grep -B, которые могут давать одинаковый результат в зависимости от контекста.</w:t>
      </w:r>
    </w:p>
    <w:p>
      <w:pPr>
        <w:pStyle w:val="BodyText"/>
      </w:pPr>
      <w:bookmarkStart w:id="113" w:name="fig:023"/>
      <w:r>
        <w:drawing>
          <wp:inline>
            <wp:extent cx="5334000" cy="2192913"/>
            <wp:effectExtent b="0" l="0" r="0" t="0"/>
            <wp:docPr descr="Предпочтения ОС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Вопрос о предпочтениях операционной системы, где даются правильные нейтральные ответы.</w:t>
      </w:r>
    </w:p>
    <w:p>
      <w:pPr>
        <w:pStyle w:val="BodyText"/>
      </w:pPr>
      <w:bookmarkStart w:id="117" w:name="fig:024"/>
      <w:r>
        <w:drawing>
          <wp:inline>
            <wp:extent cx="5334000" cy="2079429"/>
            <wp:effectExtent b="0" l="0" r="0" t="0"/>
            <wp:docPr descr="grep с шаблоном для строк с заглавными буквами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9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Пример использования команды grep с шаблоном для поиска строк, содержащих заглавные буквы.</w:t>
      </w:r>
    </w:p>
    <w:p>
      <w:pPr>
        <w:pStyle w:val="BodyText"/>
      </w:pPr>
      <w:bookmarkStart w:id="121" w:name="fig:025"/>
      <w:r>
        <w:drawing>
          <wp:inline>
            <wp:extent cx="5334000" cy="1917099"/>
            <wp:effectExtent b="0" l="0" r="0" t="0"/>
            <wp:docPr descr="Замена двух заглавных букв на ‘abbreviation’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Использование sed для замены двух заглавных букв на строку</w:t>
      </w:r>
      <w:r>
        <w:t xml:space="preserve"> </w:t>
      </w:r>
      <w:r>
        <w:t xml:space="preserve">“</w:t>
      </w:r>
      <w:r>
        <w:t xml:space="preserve">abbreviation</w:t>
      </w:r>
      <w:r>
        <w:t xml:space="preserve">”</w:t>
      </w:r>
      <w:r>
        <w:t xml:space="preserve">.</w:t>
      </w:r>
    </w:p>
    <w:p>
      <w:pPr>
        <w:pStyle w:val="BodyText"/>
      </w:pPr>
      <w:bookmarkStart w:id="125" w:name="fig:026"/>
      <w:r>
        <w:drawing>
          <wp:inline>
            <wp:extent cx="5334000" cy="1691041"/>
            <wp:effectExtent b="0" l="0" r="0" t="0"/>
            <wp:docPr descr="Опции gnuplot для сохранения графиков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1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Пример использования опций -p и –persist в gnuplot для сохранения графиков.</w:t>
      </w:r>
    </w:p>
    <w:p>
      <w:pPr>
        <w:pStyle w:val="BodyText"/>
      </w:pPr>
      <w:bookmarkStart w:id="129" w:name="fig:027"/>
      <w:r>
        <w:drawing>
          <wp:inline>
            <wp:extent cx="5334000" cy="2413994"/>
            <wp:effectExtent b="0" l="0" r="0" t="0"/>
            <wp:docPr descr="Визуализация данных в gnuplot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3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На скриншоте показана визуализация данных с использованием имени из первого столбца и десяти точек на графике.</w:t>
      </w:r>
    </w:p>
    <w:p>
      <w:pPr>
        <w:pStyle w:val="BodyText"/>
      </w:pPr>
      <w:bookmarkStart w:id="133" w:name="fig:028"/>
      <w:r>
        <w:drawing>
          <wp:inline>
            <wp:extent cx="5334000" cy="1762448"/>
            <wp:effectExtent b="0" l="0" r="0" t="0"/>
            <wp:docPr descr="Подтверждение и статистика в gnuplot" title="" id="131" name="Picture"/>
            <a:graphic>
              <a:graphicData uri="http://schemas.openxmlformats.org/drawingml/2006/picture">
                <pic:pic>
                  <pic:nvPicPr>
                    <pic:cNvPr descr="image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Скриншот с подтверждением в gnuplot, где статистика показывает 2 балла, 13 935 участников, что составляет 44%.</w:t>
      </w:r>
    </w:p>
    <w:p>
      <w:pPr>
        <w:pStyle w:val="BodyText"/>
      </w:pPr>
      <w:bookmarkStart w:id="137" w:name="fig:029"/>
      <w:r>
        <w:drawing>
          <wp:inline>
            <wp:extent cx="5334000" cy="3109288"/>
            <wp:effectExtent b="0" l="0" r="0" t="0"/>
            <wp:docPr descr="Инструкция по зеркальному отражению графика в gnuplot" title="" id="135" name="Picture"/>
            <a:graphic>
              <a:graphicData uri="http://schemas.openxmlformats.org/drawingml/2006/picture">
                <pic:pic>
                  <pic:nvPicPr>
                    <pic:cNvPr descr="image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Инструкция по зеркальному отражению графика в gnuplot.</w:t>
      </w:r>
    </w:p>
    <w:p>
      <w:pPr>
        <w:pStyle w:val="BodyText"/>
      </w:pPr>
      <w:bookmarkStart w:id="141" w:name="fig:030"/>
      <w:r>
        <w:drawing>
          <wp:inline>
            <wp:extent cx="5334000" cy="2061072"/>
            <wp:effectExtent b="0" l="0" r="0" t="0"/>
            <wp:docPr descr="Множественный выбор в тесте" title="" id="139" name="Picture"/>
            <a:graphic>
              <a:graphicData uri="http://schemas.openxmlformats.org/drawingml/2006/picture">
                <pic:pic>
                  <pic:nvPicPr>
                    <pic:cNvPr descr="image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Скриншот демонстрирует множественный выбор, где ничего не выбрано, 1 балл и предложение о помощи.</w:t>
      </w:r>
    </w:p>
    <w:p>
      <w:pPr>
        <w:pStyle w:val="BodyText"/>
      </w:pPr>
      <w:bookmarkStart w:id="145" w:name="fig:031"/>
      <w:r>
        <w:drawing>
          <wp:inline>
            <wp:extent cx="5334000" cy="2347598"/>
            <wp:effectExtent b="0" l="0" r="0" t="0"/>
            <wp:docPr descr="Команда для размера директории" title="" id="143" name="Picture"/>
            <a:graphic>
              <a:graphicData uri="http://schemas.openxmlformats.org/drawingml/2006/picture">
                <pic:pic>
                  <pic:nvPicPr>
                    <pic:cNvPr descr="image/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7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Пример использования команды du -h -s для получения размера директории.</w:t>
      </w:r>
    </w:p>
    <w:p>
      <w:pPr>
        <w:pStyle w:val="BodyText"/>
      </w:pPr>
      <w:bookmarkStart w:id="149" w:name="fig:032"/>
      <w:r>
        <w:drawing>
          <wp:inline>
            <wp:extent cx="5334000" cy="2483738"/>
            <wp:effectExtent b="0" l="0" r="0" t="0"/>
            <wp:docPr descr="Создание нескольких директорий одной командой" title="" id="147" name="Picture"/>
            <a:graphic>
              <a:graphicData uri="http://schemas.openxmlformats.org/drawingml/2006/picture">
                <pic:pic>
                  <pic:nvPicPr>
                    <pic:cNvPr descr="image/3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  <w:r>
        <w:t xml:space="preserve"> </w:t>
      </w:r>
      <w:r>
        <w:rPr>
          <w:b/>
          <w:bCs/>
        </w:rPr>
        <w:t xml:space="preserve">Описание:</w:t>
      </w:r>
      <w:r>
        <w:t xml:space="preserve"> </w:t>
      </w:r>
      <w:r>
        <w:t xml:space="preserve">Использование команды mkdir dir{1..3} для создания трех директорий за один раз.</w:t>
      </w:r>
    </w:p>
    <w:bookmarkEnd w:id="150"/>
    <w:bookmarkEnd w:id="151"/>
    <w:bookmarkStart w:id="15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прошла и изучила первый раздел курса по Linux на платформе Stepik.</w:t>
      </w:r>
    </w:p>
    <w:bookmarkEnd w:id="1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Раздел - 3</dc:title>
  <dc:creator>Сокирка Анна Константиновна</dc:creator>
  <dc:language>ru-RU</dc:language>
  <cp:keywords/>
  <dcterms:created xsi:type="dcterms:W3CDTF">2025-05-14T21:24:23Z</dcterms:created>
  <dcterms:modified xsi:type="dcterms:W3CDTF">2025-05-14T21:24:23Z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>bib/cite.bib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pandoc/csl/gost-r-7-0-5-2008-numeric.csl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Рис.</vt:lpwstr>
  </property>
  <property fmtid="{D5CDD505-2E9C-101B-9397-08002B2CF9AE}" pid="31" name="fontsize">
    <vt:lpwstr>12pt</vt:lpwstr>
  </property>
  <property fmtid="{D5CDD505-2E9C-101B-9397-08002B2CF9AE}" pid="32" name="header-includes">
    <vt:lpwstr/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temTitleDelim">
    <vt:lpwstr>.</vt:lpwstr>
  </property>
  <property fmtid="{D5CDD505-2E9C-101B-9397-08002B2CF9AE}" pid="37" name="listingTemplate">
    <vt:lpwstr>listingTitle ititleDelim t</vt:lpwstr>
  </property>
  <property fmtid="{D5CDD505-2E9C-101B-9397-08002B2CF9AE}" pid="38" name="listingTitle">
    <vt:lpwstr>Listing</vt:lpwstr>
  </property>
  <property fmtid="{D5CDD505-2E9C-101B-9397-08002B2CF9AE}" pid="39" name="listings">
    <vt:lpwstr>False</vt:lpwstr>
  </property>
  <property fmtid="{D5CDD505-2E9C-101B-9397-08002B2CF9AE}" pid="40" name="lof">
    <vt:lpwstr>True</vt:lpwstr>
  </property>
  <property fmtid="{D5CDD505-2E9C-101B-9397-08002B2CF9AE}" pid="41" name="lofItemTemplate">
    <vt:lpwstr>lofItemTitleilistItemTitleDelimt </vt:lpwstr>
  </property>
  <property fmtid="{D5CDD505-2E9C-101B-9397-08002B2CF9AE}" pid="42" name="lofItemTitle">
    <vt:lpwstr/>
  </property>
  <property fmtid="{D5CDD505-2E9C-101B-9397-08002B2CF9AE}" pid="43" name="lofTitle">
    <vt:lpwstr>Список иллюстраций</vt:lpwstr>
  </property>
  <property fmtid="{D5CDD505-2E9C-101B-9397-08002B2CF9AE}" pid="44" name="lolItemTemplate">
    <vt:lpwstr>lolItemTitleilistItemTitleDelimt </vt:lpwstr>
  </property>
  <property fmtid="{D5CDD505-2E9C-101B-9397-08002B2CF9AE}" pid="45" name="lolItemTitle">
    <vt:lpwstr/>
  </property>
  <property fmtid="{D5CDD505-2E9C-101B-9397-08002B2CF9AE}" pid="46" name="lolTitle">
    <vt:lpwstr>List of Listings</vt:lpwstr>
  </property>
  <property fmtid="{D5CDD505-2E9C-101B-9397-08002B2CF9AE}" pid="47" name="lot">
    <vt:lpwstr>True</vt:lpwstr>
  </property>
  <property fmtid="{D5CDD505-2E9C-101B-9397-08002B2CF9AE}" pid="48" name="lotItemTemplate">
    <vt:lpwstr>lotItemTitleilistItemTitleDelimt </vt:lpwstr>
  </property>
  <property fmtid="{D5CDD505-2E9C-101B-9397-08002B2CF9AE}" pid="49" name="lotItemTitle">
    <vt:lpwstr/>
  </property>
  <property fmtid="{D5CDD505-2E9C-101B-9397-08002B2CF9AE}" pid="50" name="lotTitle">
    <vt:lpwstr>Список таблиц</vt:lpwstr>
  </property>
  <property fmtid="{D5CDD505-2E9C-101B-9397-08002B2CF9AE}" pid="51" name="lstLabels">
    <vt:lpwstr>arabic</vt:lpwstr>
  </property>
  <property fmtid="{D5CDD505-2E9C-101B-9397-08002B2CF9AE}" pid="52" name="lstPrefix">
    <vt:lpwstr/>
  </property>
  <property fmtid="{D5CDD505-2E9C-101B-9397-08002B2CF9AE}" pid="53" name="lstPrefixTemplate">
    <vt:lpwstr>p i</vt:lpwstr>
  </property>
  <property fmtid="{D5CDD505-2E9C-101B-9397-08002B2CF9AE}" pid="54" name="mainfont">
    <vt:lpwstr>IBM Plex Serif</vt:lpwstr>
  </property>
  <property fmtid="{D5CDD505-2E9C-101B-9397-08002B2CF9AE}" pid="55" name="mainfontoptions">
    <vt:lpwstr>Ligatures=Common,Ligatures=TeX,Scale=0.94</vt:lpwstr>
  </property>
  <property fmtid="{D5CDD505-2E9C-101B-9397-08002B2CF9AE}" pid="56" name="monofont">
    <vt:lpwstr>IBM Plex Mono</vt:lpwstr>
  </property>
  <property fmtid="{D5CDD505-2E9C-101B-9397-08002B2CF9AE}" pid="57" name="monofontoptions">
    <vt:lpwstr>Scale=MatchLowercase,Scale=0.94,FakeStretch=0.9</vt:lpwstr>
  </property>
  <property fmtid="{D5CDD505-2E9C-101B-9397-08002B2CF9AE}" pid="58" name="nameInLink">
    <vt:lpwstr>False</vt:lpwstr>
  </property>
  <property fmtid="{D5CDD505-2E9C-101B-9397-08002B2CF9AE}" pid="59" name="numberSections">
    <vt:lpwstr>False</vt:lpwstr>
  </property>
  <property fmtid="{D5CDD505-2E9C-101B-9397-08002B2CF9AE}" pid="60" name="pairDelim">
    <vt:lpwstr>, </vt:lpwstr>
  </property>
  <property fmtid="{D5CDD505-2E9C-101B-9397-08002B2CF9AE}" pid="61" name="papersize">
    <vt:lpwstr>a4</vt:lpwstr>
  </property>
  <property fmtid="{D5CDD505-2E9C-101B-9397-08002B2CF9AE}" pid="62" name="polyglossia-lang">
    <vt:lpwstr/>
  </property>
  <property fmtid="{D5CDD505-2E9C-101B-9397-08002B2CF9AE}" pid="63" name="polyglossia-otherlangs">
    <vt:lpwstr/>
  </property>
  <property fmtid="{D5CDD505-2E9C-101B-9397-08002B2CF9AE}" pid="64" name="rangeDelim">
    <vt:lpwstr>-</vt:lpwstr>
  </property>
  <property fmtid="{D5CDD505-2E9C-101B-9397-08002B2CF9AE}" pid="65" name="refDelim">
    <vt:lpwstr>, </vt:lpwstr>
  </property>
  <property fmtid="{D5CDD505-2E9C-101B-9397-08002B2CF9AE}" pid="66" name="refIndexTemplate">
    <vt:lpwstr>isuf</vt:lpwstr>
  </property>
  <property fmtid="{D5CDD505-2E9C-101B-9397-08002B2CF9AE}" pid="67" name="romanfont">
    <vt:lpwstr>IBM Plex Serif</vt:lpwstr>
  </property>
  <property fmtid="{D5CDD505-2E9C-101B-9397-08002B2CF9AE}" pid="68" name="sansfont">
    <vt:lpwstr>IBM Plex Sans</vt:lpwstr>
  </property>
  <property fmtid="{D5CDD505-2E9C-101B-9397-08002B2CF9AE}" pid="69" name="secHeaderDelim">
    <vt:lpwstr> </vt:lpwstr>
  </property>
  <property fmtid="{D5CDD505-2E9C-101B-9397-08002B2CF9AE}" pid="70" name="secHeaderTemplate">
    <vt:lpwstr>isecHeaderDelim[n]t</vt:lpwstr>
  </property>
  <property fmtid="{D5CDD505-2E9C-101B-9397-08002B2CF9AE}" pid="71" name="secLabels">
    <vt:lpwstr>arabic</vt:lpwstr>
  </property>
  <property fmtid="{D5CDD505-2E9C-101B-9397-08002B2CF9AE}" pid="72" name="secPrefix">
    <vt:lpwstr/>
  </property>
  <property fmtid="{D5CDD505-2E9C-101B-9397-08002B2CF9AE}" pid="73" name="secPrefixTemplate">
    <vt:lpwstr>p i</vt:lpwstr>
  </property>
  <property fmtid="{D5CDD505-2E9C-101B-9397-08002B2CF9AE}" pid="74" name="sectionsDepth">
    <vt:lpwstr>0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">
    <vt:lpwstr>Выполнение внешнего курса. Основы Linux. Раздел 3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Таблица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depth">
    <vt:lpwstr>2</vt:lpwstr>
  </property>
  <property fmtid="{D5CDD505-2E9C-101B-9397-08002B2CF9AE}" pid="90" name="toc-title">
    <vt:lpwstr>Содержание</vt:lpwstr>
  </property>
</Properties>
</file>