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56"/>
        </w:rPr>
        <w:t>Employee Attrition and</w:t>
        <w:br/>
        <w:t>Workforce Analysis</w:t>
      </w:r>
    </w:p>
    <w:p>
      <w:pPr>
        <w:jc w:val="center"/>
      </w:pPr>
      <w:r>
        <w:rPr>
          <w:color w:val="475569"/>
          <w:sz w:val="32"/>
        </w:rPr>
        <w:t>Academic Project Report</w:t>
      </w:r>
    </w:p>
    <w:p/>
    <w:p>
      <w:pPr>
        <w:jc w:val="center"/>
      </w:pPr>
      <w:r>
        <w:rPr>
          <w:b/>
          <w:color w:val="1E293B"/>
          <w:sz w:val="26"/>
        </w:rPr>
        <w:t>IBM SkillsBuild Data Analytics with AI Academic Internship Program</w:t>
      </w:r>
    </w:p>
    <w:p>
      <w:pPr>
        <w:jc w:val="center"/>
      </w:pPr>
      <w:r>
        <w:rPr>
          <w:color w:val="475569"/>
          <w:sz w:val="24"/>
        </w:rPr>
        <w:t>BharatCares in association with AICTE</w:t>
      </w:r>
    </w:p>
    <w:p/>
    <w:p>
      <w:pPr>
        <w:jc w:val="center"/>
      </w:pPr>
      <w:r>
        <w:rPr>
          <w:b/>
          <w:sz w:val="26"/>
        </w:rPr>
        <w:t>Submitted by:  Anish Kumar</w:t>
      </w:r>
    </w:p>
    <w:p>
      <w:pPr>
        <w:jc w:val="center"/>
      </w:pPr>
      <w:r>
        <w:rPr>
          <w:color w:val="475569"/>
          <w:sz w:val="22"/>
        </w:rPr>
        <w:t>Dataset: IBM HR Analytics Employee Attrition &amp; Performance</w:t>
      </w:r>
    </w:p>
    <w:p>
      <w:pPr>
        <w:jc w:val="center"/>
      </w:pPr>
      <w:r>
        <w:rPr>
          <w:color w:val="2563EB"/>
          <w:sz w:val="20"/>
        </w:rPr>
        <w:t>https://www.kaggle.com/datasets/pavansubhasht/ibm-hr-analytics-attrition-dataset</w:t>
      </w:r>
    </w:p>
    <w:p>
      <w:r>
        <w:br w:type="page"/>
      </w:r>
    </w:p>
    <w:p>
      <w:pPr>
        <w:pStyle w:val="Heading1"/>
      </w:pPr>
      <w:r>
        <w:rPr>
          <w:color w:val="1E293B"/>
        </w:rPr>
        <w:t>Abstract</w:t>
      </w:r>
    </w:p>
    <w:p>
      <w:r>
        <w:t>This project presents a comprehensive data analytics study on employee attrition using the IBM HR Analytics Employee Attrition &amp; Performance dataset, comprising 1,470 employee records across 35 variables. The full data analytics lifecycle was applied: data loading, quality checking, cleaning, feature engineering, exploratory data analysis, visualization, correlation analysis, and business recommendations. The overall attrition rate was 16.12% (237 employees). Key findings: overtime workers leave at 30.53% vs 10.44% for non-overtime employees; Sales Representatives have the highest role attrition at 39.76%; the 18–25 age group has 34.78% attrition; frequent travelers leave at 24.91%; and employees who left earned on average $2,046/month less than those who stayed. Eight actionable business recommendations are provided.</w:t>
      </w:r>
    </w:p>
    <w:p>
      <w:pPr>
        <w:pStyle w:val="Heading1"/>
      </w:pPr>
      <w:r>
        <w:rPr>
          <w:color w:val="1E293B"/>
        </w:rPr>
        <w:t>1.  Introduction</w:t>
      </w:r>
    </w:p>
    <w:p>
      <w:r>
        <w:t>Employee attrition — the voluntary or involuntary departure of employees — is one of the most significant challenges facing modern HR management. High turnover leads to direct costs (recruitment, training) and indirect costs (loss of institutional knowledge, reduced team morale, productivity decline). Data analytics provides a structured, evidence-based approach to understanding why employees leave and which segments are at highest risk, enabling proactive, targeted interventions.</w:t>
      </w:r>
    </w:p>
    <w:p>
      <w:r>
        <w:t>This project applies the full data analytics workflow to the IBM HR Analytics dataset to uncover patterns of employee attrition across departments, job roles, demographics, compensation, overtime, business travel, and satisfaction scores — and to provide practical, data-backed HR recommendations.</w:t>
      </w:r>
    </w:p>
    <w:p>
      <w:pPr>
        <w:pStyle w:val="Heading1"/>
      </w:pPr>
      <w:r>
        <w:rPr>
          <w:color w:val="1E293B"/>
        </w:rPr>
        <w:t>2.  Problem Statement</w:t>
      </w:r>
    </w:p>
    <w:p>
      <w:r>
        <w:t>Despite having access to substantial HR data, many organizations lack analytical frameworks to systematically identify why employees leave. This project addresses five core questions:</w:t>
      </w:r>
    </w:p>
    <w:p>
      <w:pPr>
        <w:pStyle w:val="ListBullet"/>
      </w:pPr>
      <w:r>
        <w:rPr>
          <w:sz w:val="22"/>
        </w:rPr>
        <w:t>What is the overall attrition rate and how is it distributed across departments?</w:t>
      </w:r>
    </w:p>
    <w:p>
      <w:pPr>
        <w:pStyle w:val="ListBullet"/>
      </w:pPr>
      <w:r>
        <w:rPr>
          <w:sz w:val="22"/>
        </w:rPr>
        <w:t>Which departments and job roles have the highest attrition rates?</w:t>
      </w:r>
    </w:p>
    <w:p>
      <w:pPr>
        <w:pStyle w:val="ListBullet"/>
      </w:pPr>
      <w:r>
        <w:rPr>
          <w:sz w:val="22"/>
        </w:rPr>
        <w:t>How do overtime, business travel, and work-life balance relate to attrition?</w:t>
      </w:r>
    </w:p>
    <w:p>
      <w:pPr>
        <w:pStyle w:val="ListBullet"/>
      </w:pPr>
      <w:r>
        <w:rPr>
          <w:sz w:val="22"/>
        </w:rPr>
        <w:t>What are the demographic and compensation characteristics of employees who leave?</w:t>
      </w:r>
    </w:p>
    <w:p>
      <w:pPr>
        <w:pStyle w:val="ListBullet"/>
      </w:pPr>
      <w:r>
        <w:rPr>
          <w:sz w:val="22"/>
        </w:rPr>
        <w:t>What data-backed recommendations can help reduce attrition?</w:t>
      </w:r>
    </w:p>
    <w:p>
      <w:pPr>
        <w:pStyle w:val="Heading1"/>
      </w:pPr>
      <w:r>
        <w:rPr>
          <w:color w:val="1E293B"/>
        </w:rPr>
        <w:t>3.  Project Objectives</w:t>
      </w:r>
    </w:p>
    <w:p>
      <w:pPr>
        <w:pStyle w:val="ListNumber"/>
      </w:pPr>
      <w:r>
        <w:rPr>
          <w:sz w:val="22"/>
        </w:rPr>
        <w:t>1.  Load and explore the IBM HR Analytics dataset using Python and Pandas.</w:t>
      </w:r>
    </w:p>
    <w:p>
      <w:pPr>
        <w:pStyle w:val="ListNumber"/>
      </w:pPr>
      <w:r>
        <w:rPr>
          <w:sz w:val="22"/>
        </w:rPr>
        <w:t>2.  Perform a thorough data quality check and clean the dataset appropriately.</w:t>
      </w:r>
    </w:p>
    <w:p>
      <w:pPr>
        <w:pStyle w:val="ListNumber"/>
      </w:pPr>
      <w:r>
        <w:rPr>
          <w:sz w:val="22"/>
        </w:rPr>
        <w:t>3.  Engineer derived features (AgeGroup, TenureGroup, IncomeGroup) to support analysis.</w:t>
      </w:r>
    </w:p>
    <w:p>
      <w:pPr>
        <w:pStyle w:val="ListNumber"/>
      </w:pPr>
      <w:r>
        <w:rPr>
          <w:sz w:val="22"/>
        </w:rPr>
        <w:t>4.  Calculate key business metrics including attrition rate, average income, and satisfaction scores.</w:t>
      </w:r>
    </w:p>
    <w:p>
      <w:pPr>
        <w:pStyle w:val="ListNumber"/>
      </w:pPr>
      <w:r>
        <w:rPr>
          <w:sz w:val="22"/>
        </w:rPr>
        <w:t>5.  Conduct exploratory data analysis (EDA) across 15+ dimensions.</w:t>
      </w:r>
    </w:p>
    <w:p>
      <w:pPr>
        <w:pStyle w:val="ListNumber"/>
      </w:pPr>
      <w:r>
        <w:rPr>
          <w:sz w:val="22"/>
        </w:rPr>
        <w:t>6.  Create professional, readable data visualizations using Matplotlib and Seaborn.</w:t>
      </w:r>
    </w:p>
    <w:p>
      <w:pPr>
        <w:pStyle w:val="ListNumber"/>
      </w:pPr>
      <w:r>
        <w:rPr>
          <w:sz w:val="22"/>
        </w:rPr>
        <w:t>7.  Perform a correlation analysis on key numerical variables.</w:t>
      </w:r>
    </w:p>
    <w:p>
      <w:pPr>
        <w:pStyle w:val="ListNumber"/>
      </w:pPr>
      <w:r>
        <w:rPr>
          <w:sz w:val="22"/>
        </w:rPr>
        <w:t>8.  Identify data-backed insights and provide practical HR recommendations.</w:t>
      </w:r>
    </w:p>
    <w:p>
      <w:pPr>
        <w:pStyle w:val="Heading1"/>
      </w:pPr>
      <w:r>
        <w:rPr>
          <w:color w:val="1E293B"/>
        </w:rPr>
        <w:t>4.  Dataset Description</w:t>
      </w:r>
    </w:p>
    <w:p>
      <w:r>
        <w:t>The IBM HR Analytics Employee Attrition &amp; Performance dataset is a widely used benchmark for HR analytics, originally created by IBM data scientists and available on Kaggle.</w:t>
      </w:r>
    </w:p>
    <w:p>
      <w:pPr>
        <w:pStyle w:val="Heading2"/>
      </w:pPr>
      <w:r>
        <w:rPr>
          <w:color w:val="1E40AF"/>
        </w:rPr>
        <w:t>4.1  Dataset Summary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40af"/>
          </w:tcPr>
          <w:p>
            <w:r>
              <w:rPr>
                <w:b/>
                <w:color w:val="FFFFFF"/>
                <w:sz w:val="20"/>
              </w:rPr>
              <w:t>Attribute</w:t>
            </w:r>
          </w:p>
        </w:tc>
        <w:tc>
          <w:tcPr>
            <w:tcW w:type="dxa" w:w="4703"/>
            <w:shd w:val="clear" w:color="auto" w:fill="1e40af"/>
          </w:tcPr>
          <w:p>
            <w:r>
              <w:rPr>
                <w:b/>
                <w:color w:val="FFFFFF"/>
                <w:sz w:val="20"/>
              </w:rPr>
              <w:t>Value</w:t>
            </w:r>
          </w:p>
        </w:tc>
      </w:tr>
      <w:tr>
        <w:tc>
          <w:tcPr>
            <w:tcW w:type="dxa" w:w="4703"/>
          </w:tcPr>
          <w:p>
            <w:r>
              <w:rPr>
                <w:sz w:val="20"/>
              </w:rPr>
              <w:t>Total Records</w:t>
            </w:r>
          </w:p>
        </w:tc>
        <w:tc>
          <w:tcPr>
            <w:tcW w:type="dxa" w:w="4703"/>
          </w:tcPr>
          <w:p>
            <w:r>
              <w:rPr>
                <w:sz w:val="20"/>
              </w:rPr>
              <w:t>1,470 employees</w:t>
            </w:r>
          </w:p>
        </w:tc>
      </w:tr>
      <w:tr>
        <w:tc>
          <w:tcPr>
            <w:tcW w:type="dxa" w:w="4703"/>
            <w:shd w:val="clear" w:color="auto" w:fill="eff6ff"/>
          </w:tcPr>
          <w:p>
            <w:r>
              <w:rPr>
                <w:sz w:val="20"/>
              </w:rPr>
              <w:t>Total Features</w:t>
            </w:r>
          </w:p>
        </w:tc>
        <w:tc>
          <w:tcPr>
            <w:tcW w:type="dxa" w:w="4703"/>
            <w:shd w:val="clear" w:color="auto" w:fill="eff6ff"/>
          </w:tcPr>
          <w:p>
            <w:r>
              <w:rPr>
                <w:sz w:val="20"/>
              </w:rPr>
              <w:t>35 columns</w:t>
            </w:r>
          </w:p>
        </w:tc>
      </w:tr>
      <w:tr>
        <w:tc>
          <w:tcPr>
            <w:tcW w:type="dxa" w:w="4703"/>
          </w:tcPr>
          <w:p>
            <w:r>
              <w:rPr>
                <w:sz w:val="20"/>
              </w:rPr>
              <w:t>Target Variable</w:t>
            </w:r>
          </w:p>
        </w:tc>
        <w:tc>
          <w:tcPr>
            <w:tcW w:type="dxa" w:w="4703"/>
          </w:tcPr>
          <w:p>
            <w:r>
              <w:rPr>
                <w:sz w:val="20"/>
              </w:rPr>
              <w:t>Attrition (Yes = 237 / No = 1,233)</w:t>
            </w:r>
          </w:p>
        </w:tc>
      </w:tr>
      <w:tr>
        <w:tc>
          <w:tcPr>
            <w:tcW w:type="dxa" w:w="4703"/>
            <w:shd w:val="clear" w:color="auto" w:fill="eff6ff"/>
          </w:tcPr>
          <w:p>
            <w:r>
              <w:rPr>
                <w:sz w:val="20"/>
              </w:rPr>
              <w:t>Missing Values</w:t>
            </w:r>
          </w:p>
        </w:tc>
        <w:tc>
          <w:tcPr>
            <w:tcW w:type="dxa" w:w="4703"/>
            <w:shd w:val="clear" w:color="auto" w:fill="eff6ff"/>
          </w:tcPr>
          <w:p>
            <w:r>
              <w:rPr>
                <w:sz w:val="20"/>
              </w:rPr>
              <w:t>None</w:t>
            </w:r>
          </w:p>
        </w:tc>
      </w:tr>
      <w:tr>
        <w:tc>
          <w:tcPr>
            <w:tcW w:type="dxa" w:w="4703"/>
          </w:tcPr>
          <w:p>
            <w:r>
              <w:rPr>
                <w:sz w:val="20"/>
              </w:rPr>
              <w:t>Duplicate Records</w:t>
            </w:r>
          </w:p>
        </w:tc>
        <w:tc>
          <w:tcPr>
            <w:tcW w:type="dxa" w:w="4703"/>
          </w:tcPr>
          <w:p>
            <w:r>
              <w:rPr>
                <w:sz w:val="20"/>
              </w:rPr>
              <w:t>None</w:t>
            </w:r>
          </w:p>
        </w:tc>
      </w:tr>
    </w:tbl>
    <w:p/>
    <w:p>
      <w:pPr>
        <w:pStyle w:val="Heading2"/>
      </w:pPr>
      <w:r>
        <w:rPr>
          <w:color w:val="1E40AF"/>
        </w:rPr>
        <w:t>4.2  Key Dataset Columns</w:t>
      </w:r>
    </w:p>
    <w:tbl>
      <w:tblPr>
        <w:tblStyle w:val="TableGrid"/>
        <w:tblW w:type="auto" w:w="0"/>
        <w:tblLook w:firstColumn="1" w:firstRow="1" w:lastColumn="0" w:lastRow="0" w:noHBand="0" w:noVBand="1" w:val="04A0"/>
      </w:tblPr>
      <w:tblGrid>
        <w:gridCol w:w="2381"/>
        <w:gridCol w:w="1701"/>
        <w:gridCol w:w="5272"/>
      </w:tblGrid>
      <w:tr>
        <w:tc>
          <w:tcPr>
            <w:tcW w:type="dxa" w:w="3135"/>
            <w:shd w:val="clear" w:color="auto" w:fill="1e40af"/>
          </w:tcPr>
          <w:p>
            <w:r>
              <w:rPr>
                <w:b/>
                <w:color w:val="FFFFFF"/>
                <w:sz w:val="20"/>
              </w:rPr>
              <w:t>Column</w:t>
            </w:r>
          </w:p>
        </w:tc>
        <w:tc>
          <w:tcPr>
            <w:tcW w:type="dxa" w:w="3135"/>
            <w:shd w:val="clear" w:color="auto" w:fill="1e40af"/>
          </w:tcPr>
          <w:p>
            <w:r>
              <w:rPr>
                <w:b/>
                <w:color w:val="FFFFFF"/>
                <w:sz w:val="20"/>
              </w:rPr>
              <w:t>Type</w:t>
            </w:r>
          </w:p>
        </w:tc>
        <w:tc>
          <w:tcPr>
            <w:tcW w:type="dxa" w:w="3135"/>
            <w:shd w:val="clear" w:color="auto" w:fill="1e40af"/>
          </w:tcPr>
          <w:p>
            <w:r>
              <w:rPr>
                <w:b/>
                <w:color w:val="FFFFFF"/>
                <w:sz w:val="20"/>
              </w:rPr>
              <w:t>Description</w:t>
            </w:r>
          </w:p>
        </w:tc>
      </w:tr>
      <w:tr>
        <w:tc>
          <w:tcPr>
            <w:tcW w:type="dxa" w:w="3135"/>
          </w:tcPr>
          <w:p>
            <w:r>
              <w:rPr>
                <w:sz w:val="20"/>
              </w:rPr>
              <w:t>Age</w:t>
            </w:r>
          </w:p>
        </w:tc>
        <w:tc>
          <w:tcPr>
            <w:tcW w:type="dxa" w:w="3135"/>
          </w:tcPr>
          <w:p>
            <w:r>
              <w:rPr>
                <w:sz w:val="20"/>
              </w:rPr>
              <w:t>Numerical</w:t>
            </w:r>
          </w:p>
        </w:tc>
        <w:tc>
          <w:tcPr>
            <w:tcW w:type="dxa" w:w="3135"/>
          </w:tcPr>
          <w:p>
            <w:r>
              <w:rPr>
                <w:sz w:val="20"/>
              </w:rPr>
              <w:t>Employee age (range: 18–60)</w:t>
            </w:r>
          </w:p>
        </w:tc>
      </w:tr>
      <w:tr>
        <w:tc>
          <w:tcPr>
            <w:tcW w:type="dxa" w:w="3135"/>
            <w:shd w:val="clear" w:color="auto" w:fill="eff6ff"/>
          </w:tcPr>
          <w:p>
            <w:r>
              <w:rPr>
                <w:sz w:val="20"/>
              </w:rPr>
              <w:t>Attrition</w:t>
            </w:r>
          </w:p>
        </w:tc>
        <w:tc>
          <w:tcPr>
            <w:tcW w:type="dxa" w:w="3135"/>
            <w:shd w:val="clear" w:color="auto" w:fill="eff6ff"/>
          </w:tcPr>
          <w:p>
            <w:r>
              <w:rPr>
                <w:sz w:val="20"/>
              </w:rPr>
              <w:t>Categorical</w:t>
            </w:r>
          </w:p>
        </w:tc>
        <w:tc>
          <w:tcPr>
            <w:tcW w:type="dxa" w:w="3135"/>
            <w:shd w:val="clear" w:color="auto" w:fill="eff6ff"/>
          </w:tcPr>
          <w:p>
            <w:r>
              <w:rPr>
                <w:sz w:val="20"/>
              </w:rPr>
              <w:t>Left the organization? (Yes/No) — target variable</w:t>
            </w:r>
          </w:p>
        </w:tc>
      </w:tr>
      <w:tr>
        <w:tc>
          <w:tcPr>
            <w:tcW w:type="dxa" w:w="3135"/>
          </w:tcPr>
          <w:p>
            <w:r>
              <w:rPr>
                <w:sz w:val="20"/>
              </w:rPr>
              <w:t>BusinessTravel</w:t>
            </w:r>
          </w:p>
        </w:tc>
        <w:tc>
          <w:tcPr>
            <w:tcW w:type="dxa" w:w="3135"/>
          </w:tcPr>
          <w:p>
            <w:r>
              <w:rPr>
                <w:sz w:val="20"/>
              </w:rPr>
              <w:t>Categorical</w:t>
            </w:r>
          </w:p>
        </w:tc>
        <w:tc>
          <w:tcPr>
            <w:tcW w:type="dxa" w:w="3135"/>
          </w:tcPr>
          <w:p>
            <w:r>
              <w:rPr>
                <w:sz w:val="20"/>
              </w:rPr>
              <w:t>Non-Travel / Travel_Rarely / Travel_Frequently</w:t>
            </w:r>
          </w:p>
        </w:tc>
      </w:tr>
      <w:tr>
        <w:tc>
          <w:tcPr>
            <w:tcW w:type="dxa" w:w="3135"/>
            <w:shd w:val="clear" w:color="auto" w:fill="eff6ff"/>
          </w:tcPr>
          <w:p>
            <w:r>
              <w:rPr>
                <w:sz w:val="20"/>
              </w:rPr>
              <w:t>Department</w:t>
            </w:r>
          </w:p>
        </w:tc>
        <w:tc>
          <w:tcPr>
            <w:tcW w:type="dxa" w:w="3135"/>
            <w:shd w:val="clear" w:color="auto" w:fill="eff6ff"/>
          </w:tcPr>
          <w:p>
            <w:r>
              <w:rPr>
                <w:sz w:val="20"/>
              </w:rPr>
              <w:t>Categorical</w:t>
            </w:r>
          </w:p>
        </w:tc>
        <w:tc>
          <w:tcPr>
            <w:tcW w:type="dxa" w:w="3135"/>
            <w:shd w:val="clear" w:color="auto" w:fill="eff6ff"/>
          </w:tcPr>
          <w:p>
            <w:r>
              <w:rPr>
                <w:sz w:val="20"/>
              </w:rPr>
              <w:t>Sales / Research &amp; Development / Human Resources</w:t>
            </w:r>
          </w:p>
        </w:tc>
      </w:tr>
      <w:tr>
        <w:tc>
          <w:tcPr>
            <w:tcW w:type="dxa" w:w="3135"/>
          </w:tcPr>
          <w:p>
            <w:r>
              <w:rPr>
                <w:sz w:val="20"/>
              </w:rPr>
              <w:t>JobLevel</w:t>
            </w:r>
          </w:p>
        </w:tc>
        <w:tc>
          <w:tcPr>
            <w:tcW w:type="dxa" w:w="3135"/>
          </w:tcPr>
          <w:p>
            <w:r>
              <w:rPr>
                <w:sz w:val="20"/>
              </w:rPr>
              <w:t>Numerical</w:t>
            </w:r>
          </w:p>
        </w:tc>
        <w:tc>
          <w:tcPr>
            <w:tcW w:type="dxa" w:w="3135"/>
          </w:tcPr>
          <w:p>
            <w:r>
              <w:rPr>
                <w:sz w:val="20"/>
              </w:rPr>
              <w:t>Seniority level (1 = Entry to 5 = Senior)</w:t>
            </w:r>
          </w:p>
        </w:tc>
      </w:tr>
      <w:tr>
        <w:tc>
          <w:tcPr>
            <w:tcW w:type="dxa" w:w="3135"/>
            <w:shd w:val="clear" w:color="auto" w:fill="eff6ff"/>
          </w:tcPr>
          <w:p>
            <w:r>
              <w:rPr>
                <w:sz w:val="20"/>
              </w:rPr>
              <w:t>JobRole</w:t>
            </w:r>
          </w:p>
        </w:tc>
        <w:tc>
          <w:tcPr>
            <w:tcW w:type="dxa" w:w="3135"/>
            <w:shd w:val="clear" w:color="auto" w:fill="eff6ff"/>
          </w:tcPr>
          <w:p>
            <w:r>
              <w:rPr>
                <w:sz w:val="20"/>
              </w:rPr>
              <w:t>Categorical</w:t>
            </w:r>
          </w:p>
        </w:tc>
        <w:tc>
          <w:tcPr>
            <w:tcW w:type="dxa" w:w="3135"/>
            <w:shd w:val="clear" w:color="auto" w:fill="eff6ff"/>
          </w:tcPr>
          <w:p>
            <w:r>
              <w:rPr>
                <w:sz w:val="20"/>
              </w:rPr>
              <w:t>Specific job title (9 roles)</w:t>
            </w:r>
          </w:p>
        </w:tc>
      </w:tr>
      <w:tr>
        <w:tc>
          <w:tcPr>
            <w:tcW w:type="dxa" w:w="3135"/>
          </w:tcPr>
          <w:p>
            <w:r>
              <w:rPr>
                <w:sz w:val="20"/>
              </w:rPr>
              <w:t>JobSatisfaction</w:t>
            </w:r>
          </w:p>
        </w:tc>
        <w:tc>
          <w:tcPr>
            <w:tcW w:type="dxa" w:w="3135"/>
          </w:tcPr>
          <w:p>
            <w:r>
              <w:rPr>
                <w:sz w:val="20"/>
              </w:rPr>
              <w:t>Numerical</w:t>
            </w:r>
          </w:p>
        </w:tc>
        <w:tc>
          <w:tcPr>
            <w:tcW w:type="dxa" w:w="3135"/>
          </w:tcPr>
          <w:p>
            <w:r>
              <w:rPr>
                <w:sz w:val="20"/>
              </w:rPr>
              <w:t>Rating 1 (Low) to 4 (High)</w:t>
            </w:r>
          </w:p>
        </w:tc>
      </w:tr>
      <w:tr>
        <w:tc>
          <w:tcPr>
            <w:tcW w:type="dxa" w:w="3135"/>
            <w:shd w:val="clear" w:color="auto" w:fill="eff6ff"/>
          </w:tcPr>
          <w:p>
            <w:r>
              <w:rPr>
                <w:sz w:val="20"/>
              </w:rPr>
              <w:t>MonthlyIncome</w:t>
            </w:r>
          </w:p>
        </w:tc>
        <w:tc>
          <w:tcPr>
            <w:tcW w:type="dxa" w:w="3135"/>
            <w:shd w:val="clear" w:color="auto" w:fill="eff6ff"/>
          </w:tcPr>
          <w:p>
            <w:r>
              <w:rPr>
                <w:sz w:val="20"/>
              </w:rPr>
              <w:t>Numerical</w:t>
            </w:r>
          </w:p>
        </w:tc>
        <w:tc>
          <w:tcPr>
            <w:tcW w:type="dxa" w:w="3135"/>
            <w:shd w:val="clear" w:color="auto" w:fill="eff6ff"/>
          </w:tcPr>
          <w:p>
            <w:r>
              <w:rPr>
                <w:sz w:val="20"/>
              </w:rPr>
              <w:t>Monthly salary in USD</w:t>
            </w:r>
          </w:p>
        </w:tc>
      </w:tr>
      <w:tr>
        <w:tc>
          <w:tcPr>
            <w:tcW w:type="dxa" w:w="3135"/>
          </w:tcPr>
          <w:p>
            <w:r>
              <w:rPr>
                <w:sz w:val="20"/>
              </w:rPr>
              <w:t>OverTime</w:t>
            </w:r>
          </w:p>
        </w:tc>
        <w:tc>
          <w:tcPr>
            <w:tcW w:type="dxa" w:w="3135"/>
          </w:tcPr>
          <w:p>
            <w:r>
              <w:rPr>
                <w:sz w:val="20"/>
              </w:rPr>
              <w:t>Categorical</w:t>
            </w:r>
          </w:p>
        </w:tc>
        <w:tc>
          <w:tcPr>
            <w:tcW w:type="dxa" w:w="3135"/>
          </w:tcPr>
          <w:p>
            <w:r>
              <w:rPr>
                <w:sz w:val="20"/>
              </w:rPr>
              <w:t>Works overtime? (Yes/No)</w:t>
            </w:r>
          </w:p>
        </w:tc>
      </w:tr>
      <w:tr>
        <w:tc>
          <w:tcPr>
            <w:tcW w:type="dxa" w:w="3135"/>
            <w:shd w:val="clear" w:color="auto" w:fill="eff6ff"/>
          </w:tcPr>
          <w:p>
            <w:r>
              <w:rPr>
                <w:sz w:val="20"/>
              </w:rPr>
              <w:t>MaritalStatus</w:t>
            </w:r>
          </w:p>
        </w:tc>
        <w:tc>
          <w:tcPr>
            <w:tcW w:type="dxa" w:w="3135"/>
            <w:shd w:val="clear" w:color="auto" w:fill="eff6ff"/>
          </w:tcPr>
          <w:p>
            <w:r>
              <w:rPr>
                <w:sz w:val="20"/>
              </w:rPr>
              <w:t>Categorical</w:t>
            </w:r>
          </w:p>
        </w:tc>
        <w:tc>
          <w:tcPr>
            <w:tcW w:type="dxa" w:w="3135"/>
            <w:shd w:val="clear" w:color="auto" w:fill="eff6ff"/>
          </w:tcPr>
          <w:p>
            <w:r>
              <w:rPr>
                <w:sz w:val="20"/>
              </w:rPr>
              <w:t>Single / Married / Divorced</w:t>
            </w:r>
          </w:p>
        </w:tc>
      </w:tr>
      <w:tr>
        <w:tc>
          <w:tcPr>
            <w:tcW w:type="dxa" w:w="3135"/>
          </w:tcPr>
          <w:p>
            <w:r>
              <w:rPr>
                <w:sz w:val="20"/>
              </w:rPr>
              <w:t>WorkLifeBalance</w:t>
            </w:r>
          </w:p>
        </w:tc>
        <w:tc>
          <w:tcPr>
            <w:tcW w:type="dxa" w:w="3135"/>
          </w:tcPr>
          <w:p>
            <w:r>
              <w:rPr>
                <w:sz w:val="20"/>
              </w:rPr>
              <w:t>Numerical</w:t>
            </w:r>
          </w:p>
        </w:tc>
        <w:tc>
          <w:tcPr>
            <w:tcW w:type="dxa" w:w="3135"/>
          </w:tcPr>
          <w:p>
            <w:r>
              <w:rPr>
                <w:sz w:val="20"/>
              </w:rPr>
              <w:t>Rating 1 (Bad) to 4 (Best)</w:t>
            </w:r>
          </w:p>
        </w:tc>
      </w:tr>
      <w:tr>
        <w:tc>
          <w:tcPr>
            <w:tcW w:type="dxa" w:w="3135"/>
            <w:shd w:val="clear" w:color="auto" w:fill="eff6ff"/>
          </w:tcPr>
          <w:p>
            <w:r>
              <w:rPr>
                <w:sz w:val="20"/>
              </w:rPr>
              <w:t>YearsAtCompany</w:t>
            </w:r>
          </w:p>
        </w:tc>
        <w:tc>
          <w:tcPr>
            <w:tcW w:type="dxa" w:w="3135"/>
            <w:shd w:val="clear" w:color="auto" w:fill="eff6ff"/>
          </w:tcPr>
          <w:p>
            <w:r>
              <w:rPr>
                <w:sz w:val="20"/>
              </w:rPr>
              <w:t>Numerical</w:t>
            </w:r>
          </w:p>
        </w:tc>
        <w:tc>
          <w:tcPr>
            <w:tcW w:type="dxa" w:w="3135"/>
            <w:shd w:val="clear" w:color="auto" w:fill="eff6ff"/>
          </w:tcPr>
          <w:p>
            <w:r>
              <w:rPr>
                <w:sz w:val="20"/>
              </w:rPr>
              <w:t>Tenure at current company</w:t>
            </w:r>
          </w:p>
        </w:tc>
      </w:tr>
      <w:tr>
        <w:tc>
          <w:tcPr>
            <w:tcW w:type="dxa" w:w="3135"/>
          </w:tcPr>
          <w:p>
            <w:r>
              <w:rPr>
                <w:sz w:val="20"/>
              </w:rPr>
              <w:t>TotalWorkingYears</w:t>
            </w:r>
          </w:p>
        </w:tc>
        <w:tc>
          <w:tcPr>
            <w:tcW w:type="dxa" w:w="3135"/>
          </w:tcPr>
          <w:p>
            <w:r>
              <w:rPr>
                <w:sz w:val="20"/>
              </w:rPr>
              <w:t>Numerical</w:t>
            </w:r>
          </w:p>
        </w:tc>
        <w:tc>
          <w:tcPr>
            <w:tcW w:type="dxa" w:w="3135"/>
          </w:tcPr>
          <w:p>
            <w:r>
              <w:rPr>
                <w:sz w:val="20"/>
              </w:rPr>
              <w:t>Total years of work experience</w:t>
            </w:r>
          </w:p>
        </w:tc>
      </w:tr>
      <w:tr>
        <w:tc>
          <w:tcPr>
            <w:tcW w:type="dxa" w:w="3135"/>
            <w:shd w:val="clear" w:color="auto" w:fill="eff6ff"/>
          </w:tcPr>
          <w:p>
            <w:r>
              <w:rPr>
                <w:sz w:val="20"/>
              </w:rPr>
              <w:t>EducationField</w:t>
            </w:r>
          </w:p>
        </w:tc>
        <w:tc>
          <w:tcPr>
            <w:tcW w:type="dxa" w:w="3135"/>
            <w:shd w:val="clear" w:color="auto" w:fill="eff6ff"/>
          </w:tcPr>
          <w:p>
            <w:r>
              <w:rPr>
                <w:sz w:val="20"/>
              </w:rPr>
              <w:t>Categorical</w:t>
            </w:r>
          </w:p>
        </w:tc>
        <w:tc>
          <w:tcPr>
            <w:tcW w:type="dxa" w:w="3135"/>
            <w:shd w:val="clear" w:color="auto" w:fill="eff6ff"/>
          </w:tcPr>
          <w:p>
            <w:r>
              <w:rPr>
                <w:sz w:val="20"/>
              </w:rPr>
              <w:t>Field of academic study</w:t>
            </w:r>
          </w:p>
        </w:tc>
      </w:tr>
      <w:tr>
        <w:tc>
          <w:tcPr>
            <w:tcW w:type="dxa" w:w="3135"/>
          </w:tcPr>
          <w:p>
            <w:r>
              <w:rPr>
                <w:sz w:val="20"/>
              </w:rPr>
              <w:t>Gender</w:t>
            </w:r>
          </w:p>
        </w:tc>
        <w:tc>
          <w:tcPr>
            <w:tcW w:type="dxa" w:w="3135"/>
          </w:tcPr>
          <w:p>
            <w:r>
              <w:rPr>
                <w:sz w:val="20"/>
              </w:rPr>
              <w:t>Categorical</w:t>
            </w:r>
          </w:p>
        </w:tc>
        <w:tc>
          <w:tcPr>
            <w:tcW w:type="dxa" w:w="3135"/>
          </w:tcPr>
          <w:p>
            <w:r>
              <w:rPr>
                <w:sz w:val="20"/>
              </w:rPr>
              <w:t>Male / Female</w:t>
            </w:r>
          </w:p>
        </w:tc>
      </w:tr>
    </w:tbl>
    <w:p/>
    <w:p>
      <w:pPr>
        <w:pStyle w:val="Heading1"/>
      </w:pPr>
      <w:r>
        <w:rPr>
          <w:color w:val="1E293B"/>
        </w:rPr>
        <w:t>5.  Technologies and Tools Used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20"/>
              </w:rPr>
              <w:t>Technology</w:t>
            </w:r>
          </w:p>
        </w:tc>
        <w:tc>
          <w:tcPr>
            <w:tcW w:type="dxa" w:w="3135"/>
            <w:shd w:val="clear" w:color="auto" w:fill="1e40af"/>
          </w:tcPr>
          <w:p>
            <w:r>
              <w:rPr>
                <w:b/>
                <w:color w:val="FFFFFF"/>
                <w:sz w:val="20"/>
              </w:rPr>
              <w:t>Version / Notes</w:t>
            </w:r>
          </w:p>
        </w:tc>
        <w:tc>
          <w:tcPr>
            <w:tcW w:type="dxa" w:w="3135"/>
            <w:shd w:val="clear" w:color="auto" w:fill="1e40af"/>
          </w:tcPr>
          <w:p>
            <w:r>
              <w:rPr>
                <w:b/>
                <w:color w:val="FFFFFF"/>
                <w:sz w:val="20"/>
              </w:rPr>
              <w:t>Purpose</w:t>
            </w:r>
          </w:p>
        </w:tc>
      </w:tr>
      <w:tr>
        <w:tc>
          <w:tcPr>
            <w:tcW w:type="dxa" w:w="3135"/>
          </w:tcPr>
          <w:p>
            <w:r>
              <w:rPr>
                <w:sz w:val="20"/>
              </w:rPr>
              <w:t>Python 3</w:t>
            </w:r>
          </w:p>
        </w:tc>
        <w:tc>
          <w:tcPr>
            <w:tcW w:type="dxa" w:w="3135"/>
          </w:tcPr>
          <w:p>
            <w:r>
              <w:rPr>
                <w:sz w:val="20"/>
              </w:rPr>
              <w:t>3.8+</w:t>
            </w:r>
          </w:p>
        </w:tc>
        <w:tc>
          <w:tcPr>
            <w:tcW w:type="dxa" w:w="3135"/>
          </w:tcPr>
          <w:p>
            <w:r>
              <w:rPr>
                <w:sz w:val="20"/>
              </w:rPr>
              <w:t>Core programming language</w:t>
            </w:r>
          </w:p>
        </w:tc>
      </w:tr>
      <w:tr>
        <w:tc>
          <w:tcPr>
            <w:tcW w:type="dxa" w:w="3135"/>
            <w:shd w:val="clear" w:color="auto" w:fill="eff6ff"/>
          </w:tcPr>
          <w:p>
            <w:r>
              <w:rPr>
                <w:sz w:val="20"/>
              </w:rPr>
              <w:t>Pandas</w:t>
            </w:r>
          </w:p>
        </w:tc>
        <w:tc>
          <w:tcPr>
            <w:tcW w:type="dxa" w:w="3135"/>
            <w:shd w:val="clear" w:color="auto" w:fill="eff6ff"/>
          </w:tcPr>
          <w:p>
            <w:r>
              <w:rPr>
                <w:sz w:val="20"/>
              </w:rPr>
              <w:t>1.5+</w:t>
            </w:r>
          </w:p>
        </w:tc>
        <w:tc>
          <w:tcPr>
            <w:tcW w:type="dxa" w:w="3135"/>
            <w:shd w:val="clear" w:color="auto" w:fill="eff6ff"/>
          </w:tcPr>
          <w:p>
            <w:r>
              <w:rPr>
                <w:sz w:val="20"/>
              </w:rPr>
              <w:t>Data loading, cleaning, groupby analysis</w:t>
            </w:r>
          </w:p>
        </w:tc>
      </w:tr>
      <w:tr>
        <w:tc>
          <w:tcPr>
            <w:tcW w:type="dxa" w:w="3135"/>
          </w:tcPr>
          <w:p>
            <w:r>
              <w:rPr>
                <w:sz w:val="20"/>
              </w:rPr>
              <w:t>NumPy</w:t>
            </w:r>
          </w:p>
        </w:tc>
        <w:tc>
          <w:tcPr>
            <w:tcW w:type="dxa" w:w="3135"/>
          </w:tcPr>
          <w:p>
            <w:r>
              <w:rPr>
                <w:sz w:val="20"/>
              </w:rPr>
              <w:t>1.24+</w:t>
            </w:r>
          </w:p>
        </w:tc>
        <w:tc>
          <w:tcPr>
            <w:tcW w:type="dxa" w:w="3135"/>
          </w:tcPr>
          <w:p>
            <w:r>
              <w:rPr>
                <w:sz w:val="20"/>
              </w:rPr>
              <w:t>Numerical operations and array computations</w:t>
            </w:r>
          </w:p>
        </w:tc>
      </w:tr>
      <w:tr>
        <w:tc>
          <w:tcPr>
            <w:tcW w:type="dxa" w:w="3135"/>
            <w:shd w:val="clear" w:color="auto" w:fill="eff6ff"/>
          </w:tcPr>
          <w:p>
            <w:r>
              <w:rPr>
                <w:sz w:val="20"/>
              </w:rPr>
              <w:t>Matplotlib</w:t>
            </w:r>
          </w:p>
        </w:tc>
        <w:tc>
          <w:tcPr>
            <w:tcW w:type="dxa" w:w="3135"/>
            <w:shd w:val="clear" w:color="auto" w:fill="eff6ff"/>
          </w:tcPr>
          <w:p>
            <w:r>
              <w:rPr>
                <w:sz w:val="20"/>
              </w:rPr>
              <w:t>3.6+</w:t>
            </w:r>
          </w:p>
        </w:tc>
        <w:tc>
          <w:tcPr>
            <w:tcW w:type="dxa" w:w="3135"/>
            <w:shd w:val="clear" w:color="auto" w:fill="eff6ff"/>
          </w:tcPr>
          <w:p>
            <w:r>
              <w:rPr>
                <w:sz w:val="20"/>
              </w:rPr>
              <w:t>Base charting library (bar, histogram, pie)</w:t>
            </w:r>
          </w:p>
        </w:tc>
      </w:tr>
      <w:tr>
        <w:tc>
          <w:tcPr>
            <w:tcW w:type="dxa" w:w="3135"/>
          </w:tcPr>
          <w:p>
            <w:r>
              <w:rPr>
                <w:sz w:val="20"/>
              </w:rPr>
              <w:t>Seaborn</w:t>
            </w:r>
          </w:p>
        </w:tc>
        <w:tc>
          <w:tcPr>
            <w:tcW w:type="dxa" w:w="3135"/>
          </w:tcPr>
          <w:p>
            <w:r>
              <w:rPr>
                <w:sz w:val="20"/>
              </w:rPr>
              <w:t>0.12+</w:t>
            </w:r>
          </w:p>
        </w:tc>
        <w:tc>
          <w:tcPr>
            <w:tcW w:type="dxa" w:w="3135"/>
          </w:tcPr>
          <w:p>
            <w:r>
              <w:rPr>
                <w:sz w:val="20"/>
              </w:rPr>
              <w:t>Statistical visualizations, correlation heatmap</w:t>
            </w:r>
          </w:p>
        </w:tc>
      </w:tr>
      <w:tr>
        <w:tc>
          <w:tcPr>
            <w:tcW w:type="dxa" w:w="3135"/>
            <w:shd w:val="clear" w:color="auto" w:fill="eff6ff"/>
          </w:tcPr>
          <w:p>
            <w:r>
              <w:rPr>
                <w:sz w:val="20"/>
              </w:rPr>
              <w:t>Jupyter</w:t>
            </w:r>
          </w:p>
        </w:tc>
        <w:tc>
          <w:tcPr>
            <w:tcW w:type="dxa" w:w="3135"/>
            <w:shd w:val="clear" w:color="auto" w:fill="eff6ff"/>
          </w:tcPr>
          <w:p>
            <w:r>
              <w:rPr>
                <w:sz w:val="20"/>
              </w:rPr>
              <w:t>Notebook / Lab</w:t>
            </w:r>
          </w:p>
        </w:tc>
        <w:tc>
          <w:tcPr>
            <w:tcW w:type="dxa" w:w="3135"/>
            <w:shd w:val="clear" w:color="auto" w:fill="eff6ff"/>
          </w:tcPr>
          <w:p>
            <w:r>
              <w:rPr>
                <w:sz w:val="20"/>
              </w:rPr>
              <w:t>Interactive development and output display</w:t>
            </w:r>
          </w:p>
        </w:tc>
      </w:tr>
    </w:tbl>
    <w:p/>
    <w:p>
      <w:pPr>
        <w:pStyle w:val="Heading1"/>
      </w:pPr>
      <w:r>
        <w:rPr>
          <w:color w:val="1E293B"/>
        </w:rPr>
        <w:t>6.  Data Visualizations</w:t>
      </w:r>
    </w:p>
    <w:p>
      <w:r>
        <w:t>All charts below are generated directly from the dataset using Python (Matplotlib / Seaborn). Red bars indicate attrition rates above the company average (16.12%); blue bars indicate below-average rates. Dashed grey lines mark the company average.</w:t>
      </w:r>
    </w:p>
    <w:p>
      <w:pPr>
        <w:jc w:val="center"/>
      </w:pPr>
      <w:r>
        <w:drawing>
          <wp:inline xmlns:a="http://schemas.openxmlformats.org/drawingml/2006/main" xmlns:pic="http://schemas.openxmlformats.org/drawingml/2006/picture">
            <wp:extent cx="5760720" cy="2209691"/>
            <wp:docPr id="1" name="Picture 1"/>
            <wp:cNvGraphicFramePr>
              <a:graphicFrameLocks noChangeAspect="1"/>
            </wp:cNvGraphicFramePr>
            <a:graphic>
              <a:graphicData uri="http://schemas.openxmlformats.org/drawingml/2006/picture">
                <pic:pic>
                  <pic:nvPicPr>
                    <pic:cNvPr id="0" name="chart_00_kpi_dashboard.png"/>
                    <pic:cNvPicPr/>
                  </pic:nvPicPr>
                  <pic:blipFill>
                    <a:blip r:embed="rId9"/>
                    <a:stretch>
                      <a:fillRect/>
                    </a:stretch>
                  </pic:blipFill>
                  <pic:spPr>
                    <a:xfrm>
                      <a:off x="0" y="0"/>
                      <a:ext cx="5760720" cy="2209691"/>
                    </a:xfrm>
                    <a:prstGeom prst="rect"/>
                  </pic:spPr>
                </pic:pic>
              </a:graphicData>
            </a:graphic>
          </wp:inline>
        </w:drawing>
      </w:r>
    </w:p>
    <w:p>
      <w:pPr>
        <w:spacing w:after="280"/>
        <w:jc w:val="center"/>
      </w:pPr>
      <w:r>
        <w:rPr>
          <w:color w:val="475569"/>
          <w:sz w:val="18"/>
        </w:rPr>
        <w:t>Figure 1 — Key Performance Indicators Dashboard</w:t>
        <w:br/>
        <w:t>Core attrition metrics at a glance.</w:t>
      </w:r>
    </w:p>
    <w:p>
      <w:pPr>
        <w:jc w:val="center"/>
      </w:pPr>
      <w:r>
        <w:drawing>
          <wp:inline xmlns:a="http://schemas.openxmlformats.org/drawingml/2006/main" xmlns:pic="http://schemas.openxmlformats.org/drawingml/2006/picture">
            <wp:extent cx="5760720" cy="6144768"/>
            <wp:docPr id="2" name="Picture 2"/>
            <wp:cNvGraphicFramePr>
              <a:graphicFrameLocks noChangeAspect="1"/>
            </wp:cNvGraphicFramePr>
            <a:graphic>
              <a:graphicData uri="http://schemas.openxmlformats.org/drawingml/2006/picture">
                <pic:pic>
                  <pic:nvPicPr>
                    <pic:cNvPr id="0" name="chart_01_attrition_overview.png"/>
                    <pic:cNvPicPr/>
                  </pic:nvPicPr>
                  <pic:blipFill>
                    <a:blip r:embed="rId10"/>
                    <a:stretch>
                      <a:fillRect/>
                    </a:stretch>
                  </pic:blipFill>
                  <pic:spPr>
                    <a:xfrm>
                      <a:off x="0" y="0"/>
                      <a:ext cx="5760720" cy="6144768"/>
                    </a:xfrm>
                    <a:prstGeom prst="rect"/>
                  </pic:spPr>
                </pic:pic>
              </a:graphicData>
            </a:graphic>
          </wp:inline>
        </w:drawing>
      </w:r>
    </w:p>
    <w:p>
      <w:pPr>
        <w:spacing w:after="280"/>
        <w:jc w:val="center"/>
      </w:pPr>
      <w:r>
        <w:rPr>
          <w:color w:val="475569"/>
          <w:sz w:val="18"/>
        </w:rPr>
        <w:t>Figure 2 — Overall Attrition (Donut Chart)</w:t>
        <w:br/>
        <w:t>83.88% of employees stayed; 16.12% left.</w:t>
      </w:r>
    </w:p>
    <w:p>
      <w:pPr>
        <w:jc w:val="center"/>
      </w:pPr>
      <w:r>
        <w:drawing>
          <wp:inline xmlns:a="http://schemas.openxmlformats.org/drawingml/2006/main" xmlns:pic="http://schemas.openxmlformats.org/drawingml/2006/picture">
            <wp:extent cx="5760720" cy="3161899"/>
            <wp:docPr id="3" name="Picture 3"/>
            <wp:cNvGraphicFramePr>
              <a:graphicFrameLocks noChangeAspect="1"/>
            </wp:cNvGraphicFramePr>
            <a:graphic>
              <a:graphicData uri="http://schemas.openxmlformats.org/drawingml/2006/picture">
                <pic:pic>
                  <pic:nvPicPr>
                    <pic:cNvPr id="0" name="chart_02_attrition_department.png"/>
                    <pic:cNvPicPr/>
                  </pic:nvPicPr>
                  <pic:blipFill>
                    <a:blip r:embed="rId11"/>
                    <a:stretch>
                      <a:fillRect/>
                    </a:stretch>
                  </pic:blipFill>
                  <pic:spPr>
                    <a:xfrm>
                      <a:off x="0" y="0"/>
                      <a:ext cx="5760720" cy="3161899"/>
                    </a:xfrm>
                    <a:prstGeom prst="rect"/>
                  </pic:spPr>
                </pic:pic>
              </a:graphicData>
            </a:graphic>
          </wp:inline>
        </w:drawing>
      </w:r>
    </w:p>
    <w:p>
      <w:pPr>
        <w:spacing w:after="280"/>
        <w:jc w:val="center"/>
      </w:pPr>
      <w:r>
        <w:rPr>
          <w:color w:val="475569"/>
          <w:sz w:val="18"/>
        </w:rPr>
        <w:t>Figure 3 — Attrition Rate by Department</w:t>
        <w:br/>
        <w:t>Sales (20.63%) and HR (19.05%) exceed the company average.</w:t>
      </w:r>
    </w:p>
    <w:p>
      <w:pPr>
        <w:jc w:val="center"/>
      </w:pPr>
      <w:r>
        <w:drawing>
          <wp:inline xmlns:a="http://schemas.openxmlformats.org/drawingml/2006/main" xmlns:pic="http://schemas.openxmlformats.org/drawingml/2006/picture">
            <wp:extent cx="5760720" cy="3110082"/>
            <wp:docPr id="4" name="Picture 4"/>
            <wp:cNvGraphicFramePr>
              <a:graphicFrameLocks noChangeAspect="1"/>
            </wp:cNvGraphicFramePr>
            <a:graphic>
              <a:graphicData uri="http://schemas.openxmlformats.org/drawingml/2006/picture">
                <pic:pic>
                  <pic:nvPicPr>
                    <pic:cNvPr id="0" name="chart_03_attrition_jobrole.png"/>
                    <pic:cNvPicPr/>
                  </pic:nvPicPr>
                  <pic:blipFill>
                    <a:blip r:embed="rId12"/>
                    <a:stretch>
                      <a:fillRect/>
                    </a:stretch>
                  </pic:blipFill>
                  <pic:spPr>
                    <a:xfrm>
                      <a:off x="0" y="0"/>
                      <a:ext cx="5760720" cy="3110082"/>
                    </a:xfrm>
                    <a:prstGeom prst="rect"/>
                  </pic:spPr>
                </pic:pic>
              </a:graphicData>
            </a:graphic>
          </wp:inline>
        </w:drawing>
      </w:r>
    </w:p>
    <w:p>
      <w:pPr>
        <w:spacing w:after="280"/>
        <w:jc w:val="center"/>
      </w:pPr>
      <w:r>
        <w:rPr>
          <w:color w:val="475569"/>
          <w:sz w:val="18"/>
        </w:rPr>
        <w:t>Figure 4 — Attrition Rate by Job Role</w:t>
        <w:br/>
        <w:t>Sales Representatives top the list at 39.76%; Research Directors lowest at 2.50%.</w:t>
      </w:r>
    </w:p>
    <w:p>
      <w:pPr>
        <w:jc w:val="center"/>
      </w:pPr>
      <w:r>
        <w:drawing>
          <wp:inline xmlns:a="http://schemas.openxmlformats.org/drawingml/2006/main" xmlns:pic="http://schemas.openxmlformats.org/drawingml/2006/picture">
            <wp:extent cx="5760720" cy="2362542"/>
            <wp:docPr id="5" name="Picture 5"/>
            <wp:cNvGraphicFramePr>
              <a:graphicFrameLocks noChangeAspect="1"/>
            </wp:cNvGraphicFramePr>
            <a:graphic>
              <a:graphicData uri="http://schemas.openxmlformats.org/drawingml/2006/picture">
                <pic:pic>
                  <pic:nvPicPr>
                    <pic:cNvPr id="0" name="chart_04_overtime.png"/>
                    <pic:cNvPicPr/>
                  </pic:nvPicPr>
                  <pic:blipFill>
                    <a:blip r:embed="rId13"/>
                    <a:stretch>
                      <a:fillRect/>
                    </a:stretch>
                  </pic:blipFill>
                  <pic:spPr>
                    <a:xfrm>
                      <a:off x="0" y="0"/>
                      <a:ext cx="5760720" cy="2362542"/>
                    </a:xfrm>
                    <a:prstGeom prst="rect"/>
                  </pic:spPr>
                </pic:pic>
              </a:graphicData>
            </a:graphic>
          </wp:inline>
        </w:drawing>
      </w:r>
    </w:p>
    <w:p>
      <w:pPr>
        <w:spacing w:after="280"/>
        <w:jc w:val="center"/>
      </w:pPr>
      <w:r>
        <w:rPr>
          <w:color w:val="475569"/>
          <w:sz w:val="18"/>
        </w:rPr>
        <w:t>Figure 5 — Overtime vs Attrition</w:t>
        <w:br/>
        <w:t>Overtime workers leave at 30.53% — nearly 3× the rate of non-overtime employees.</w:t>
      </w:r>
    </w:p>
    <w:p>
      <w:pPr>
        <w:jc w:val="center"/>
      </w:pPr>
      <w:r>
        <w:drawing>
          <wp:inline xmlns:a="http://schemas.openxmlformats.org/drawingml/2006/main" xmlns:pic="http://schemas.openxmlformats.org/drawingml/2006/picture">
            <wp:extent cx="5760720" cy="2841436"/>
            <wp:docPr id="6" name="Picture 6"/>
            <wp:cNvGraphicFramePr>
              <a:graphicFrameLocks noChangeAspect="1"/>
            </wp:cNvGraphicFramePr>
            <a:graphic>
              <a:graphicData uri="http://schemas.openxmlformats.org/drawingml/2006/picture">
                <pic:pic>
                  <pic:nvPicPr>
                    <pic:cNvPr id="0" name="chart_05_age_group.png"/>
                    <pic:cNvPicPr/>
                  </pic:nvPicPr>
                  <pic:blipFill>
                    <a:blip r:embed="rId14"/>
                    <a:stretch>
                      <a:fillRect/>
                    </a:stretch>
                  </pic:blipFill>
                  <pic:spPr>
                    <a:xfrm>
                      <a:off x="0" y="0"/>
                      <a:ext cx="5760720" cy="2841436"/>
                    </a:xfrm>
                    <a:prstGeom prst="rect"/>
                  </pic:spPr>
                </pic:pic>
              </a:graphicData>
            </a:graphic>
          </wp:inline>
        </w:drawing>
      </w:r>
    </w:p>
    <w:p>
      <w:pPr>
        <w:spacing w:after="280"/>
        <w:jc w:val="center"/>
      </w:pPr>
      <w:r>
        <w:rPr>
          <w:color w:val="475569"/>
          <w:sz w:val="18"/>
        </w:rPr>
        <w:t>Figure 6 — Attrition by Age Group</w:t>
        <w:br/>
        <w:t>Young employees (18–25) leave most frequently at 34.78%.</w:t>
      </w:r>
    </w:p>
    <w:p>
      <w:pPr>
        <w:jc w:val="center"/>
      </w:pPr>
      <w:r>
        <w:drawing>
          <wp:inline xmlns:a="http://schemas.openxmlformats.org/drawingml/2006/main" xmlns:pic="http://schemas.openxmlformats.org/drawingml/2006/picture">
            <wp:extent cx="5760720" cy="3161899"/>
            <wp:docPr id="7" name="Picture 7"/>
            <wp:cNvGraphicFramePr>
              <a:graphicFrameLocks noChangeAspect="1"/>
            </wp:cNvGraphicFramePr>
            <a:graphic>
              <a:graphicData uri="http://schemas.openxmlformats.org/drawingml/2006/picture">
                <pic:pic>
                  <pic:nvPicPr>
                    <pic:cNvPr id="0" name="chart_06_business_travel.png"/>
                    <pic:cNvPicPr/>
                  </pic:nvPicPr>
                  <pic:blipFill>
                    <a:blip r:embed="rId15"/>
                    <a:stretch>
                      <a:fillRect/>
                    </a:stretch>
                  </pic:blipFill>
                  <pic:spPr>
                    <a:xfrm>
                      <a:off x="0" y="0"/>
                      <a:ext cx="5760720" cy="3161899"/>
                    </a:xfrm>
                    <a:prstGeom prst="rect"/>
                  </pic:spPr>
                </pic:pic>
              </a:graphicData>
            </a:graphic>
          </wp:inline>
        </w:drawing>
      </w:r>
    </w:p>
    <w:p>
      <w:pPr>
        <w:spacing w:after="280"/>
        <w:jc w:val="center"/>
      </w:pPr>
      <w:r>
        <w:rPr>
          <w:color w:val="475569"/>
          <w:sz w:val="18"/>
        </w:rPr>
        <w:t>Figure 7 — Attrition by Business Travel Frequency</w:t>
        <w:br/>
        <w:t>Frequent travelers: 24.91% vs non-travelers: 8.00%.</w:t>
      </w:r>
    </w:p>
    <w:p>
      <w:pPr>
        <w:jc w:val="center"/>
      </w:pPr>
      <w:r>
        <w:drawing>
          <wp:inline xmlns:a="http://schemas.openxmlformats.org/drawingml/2006/main" xmlns:pic="http://schemas.openxmlformats.org/drawingml/2006/picture">
            <wp:extent cx="5760720" cy="2671744"/>
            <wp:docPr id="8" name="Picture 8"/>
            <wp:cNvGraphicFramePr>
              <a:graphicFrameLocks noChangeAspect="1"/>
            </wp:cNvGraphicFramePr>
            <a:graphic>
              <a:graphicData uri="http://schemas.openxmlformats.org/drawingml/2006/picture">
                <pic:pic>
                  <pic:nvPicPr>
                    <pic:cNvPr id="0" name="chart_07_gender.png"/>
                    <pic:cNvPicPr/>
                  </pic:nvPicPr>
                  <pic:blipFill>
                    <a:blip r:embed="rId16"/>
                    <a:stretch>
                      <a:fillRect/>
                    </a:stretch>
                  </pic:blipFill>
                  <pic:spPr>
                    <a:xfrm>
                      <a:off x="0" y="0"/>
                      <a:ext cx="5760720" cy="2671744"/>
                    </a:xfrm>
                    <a:prstGeom prst="rect"/>
                  </pic:spPr>
                </pic:pic>
              </a:graphicData>
            </a:graphic>
          </wp:inline>
        </w:drawing>
      </w:r>
    </w:p>
    <w:p>
      <w:pPr>
        <w:spacing w:after="280"/>
        <w:jc w:val="center"/>
      </w:pPr>
      <w:r>
        <w:rPr>
          <w:color w:val="475569"/>
          <w:sz w:val="18"/>
        </w:rPr>
        <w:t>Figure 8 — Attrition by Gender</w:t>
        <w:br/>
        <w:t>Male employees (17.01%) have a slightly higher attrition rate than female (14.80%).</w:t>
      </w:r>
    </w:p>
    <w:p>
      <w:pPr>
        <w:jc w:val="center"/>
      </w:pPr>
      <w:r>
        <w:drawing>
          <wp:inline xmlns:a="http://schemas.openxmlformats.org/drawingml/2006/main" xmlns:pic="http://schemas.openxmlformats.org/drawingml/2006/picture">
            <wp:extent cx="5760720" cy="3563835"/>
            <wp:docPr id="9" name="Picture 9"/>
            <wp:cNvGraphicFramePr>
              <a:graphicFrameLocks noChangeAspect="1"/>
            </wp:cNvGraphicFramePr>
            <a:graphic>
              <a:graphicData uri="http://schemas.openxmlformats.org/drawingml/2006/picture">
                <pic:pic>
                  <pic:nvPicPr>
                    <pic:cNvPr id="0" name="chart_08_marital_status.png"/>
                    <pic:cNvPicPr/>
                  </pic:nvPicPr>
                  <pic:blipFill>
                    <a:blip r:embed="rId17"/>
                    <a:stretch>
                      <a:fillRect/>
                    </a:stretch>
                  </pic:blipFill>
                  <pic:spPr>
                    <a:xfrm>
                      <a:off x="0" y="0"/>
                      <a:ext cx="5760720" cy="3563835"/>
                    </a:xfrm>
                    <a:prstGeom prst="rect"/>
                  </pic:spPr>
                </pic:pic>
              </a:graphicData>
            </a:graphic>
          </wp:inline>
        </w:drawing>
      </w:r>
    </w:p>
    <w:p>
      <w:pPr>
        <w:spacing w:after="280"/>
        <w:jc w:val="center"/>
      </w:pPr>
      <w:r>
        <w:rPr>
          <w:color w:val="475569"/>
          <w:sz w:val="18"/>
        </w:rPr>
        <w:t>Figure 9 — Attrition by Marital Status</w:t>
        <w:br/>
        <w:t>Single employees leave at 25.53% — more than double divorced employees (10.09%).</w:t>
      </w:r>
    </w:p>
    <w:p>
      <w:pPr>
        <w:jc w:val="center"/>
      </w:pPr>
      <w:r>
        <w:drawing>
          <wp:inline xmlns:a="http://schemas.openxmlformats.org/drawingml/2006/main" xmlns:pic="http://schemas.openxmlformats.org/drawingml/2006/picture">
            <wp:extent cx="5760720" cy="3161899"/>
            <wp:docPr id="10" name="Picture 10"/>
            <wp:cNvGraphicFramePr>
              <a:graphicFrameLocks noChangeAspect="1"/>
            </wp:cNvGraphicFramePr>
            <a:graphic>
              <a:graphicData uri="http://schemas.openxmlformats.org/drawingml/2006/picture">
                <pic:pic>
                  <pic:nvPicPr>
                    <pic:cNvPr id="0" name="chart_09_job_level.png"/>
                    <pic:cNvPicPr/>
                  </pic:nvPicPr>
                  <pic:blipFill>
                    <a:blip r:embed="rId18"/>
                    <a:stretch>
                      <a:fillRect/>
                    </a:stretch>
                  </pic:blipFill>
                  <pic:spPr>
                    <a:xfrm>
                      <a:off x="0" y="0"/>
                      <a:ext cx="5760720" cy="3161899"/>
                    </a:xfrm>
                    <a:prstGeom prst="rect"/>
                  </pic:spPr>
                </pic:pic>
              </a:graphicData>
            </a:graphic>
          </wp:inline>
        </w:drawing>
      </w:r>
    </w:p>
    <w:p>
      <w:pPr>
        <w:spacing w:after="280"/>
        <w:jc w:val="center"/>
      </w:pPr>
      <w:r>
        <w:rPr>
          <w:color w:val="475569"/>
          <w:sz w:val="18"/>
        </w:rPr>
        <w:t>Figure 10 — Attrition by Job Level</w:t>
        <w:br/>
        <w:t>Entry-level (Level 1): 26.34% vs senior (Level 5): 7.25%.</w:t>
      </w:r>
    </w:p>
    <w:p>
      <w:pPr>
        <w:jc w:val="center"/>
      </w:pPr>
      <w:r>
        <w:drawing>
          <wp:inline xmlns:a="http://schemas.openxmlformats.org/drawingml/2006/main" xmlns:pic="http://schemas.openxmlformats.org/drawingml/2006/picture">
            <wp:extent cx="5760720" cy="3161899"/>
            <wp:docPr id="11" name="Picture 11"/>
            <wp:cNvGraphicFramePr>
              <a:graphicFrameLocks noChangeAspect="1"/>
            </wp:cNvGraphicFramePr>
            <a:graphic>
              <a:graphicData uri="http://schemas.openxmlformats.org/drawingml/2006/picture">
                <pic:pic>
                  <pic:nvPicPr>
                    <pic:cNvPr id="0" name="chart_10_job_satisfaction.png"/>
                    <pic:cNvPicPr/>
                  </pic:nvPicPr>
                  <pic:blipFill>
                    <a:blip r:embed="rId19"/>
                    <a:stretch>
                      <a:fillRect/>
                    </a:stretch>
                  </pic:blipFill>
                  <pic:spPr>
                    <a:xfrm>
                      <a:off x="0" y="0"/>
                      <a:ext cx="5760720" cy="3161899"/>
                    </a:xfrm>
                    <a:prstGeom prst="rect"/>
                  </pic:spPr>
                </pic:pic>
              </a:graphicData>
            </a:graphic>
          </wp:inline>
        </w:drawing>
      </w:r>
    </w:p>
    <w:p>
      <w:pPr>
        <w:spacing w:after="280"/>
        <w:jc w:val="center"/>
      </w:pPr>
      <w:r>
        <w:rPr>
          <w:color w:val="475569"/>
          <w:sz w:val="18"/>
        </w:rPr>
        <w:t>Figure 11 — Attrition by Job Satisfaction</w:t>
        <w:br/>
        <w:t>Lowest satisfaction (Level 1) drives 22.84% attrition vs 11.33% at highest (Level 4).</w:t>
      </w:r>
    </w:p>
    <w:p>
      <w:pPr>
        <w:jc w:val="center"/>
      </w:pPr>
      <w:r>
        <w:drawing>
          <wp:inline xmlns:a="http://schemas.openxmlformats.org/drawingml/2006/main" xmlns:pic="http://schemas.openxmlformats.org/drawingml/2006/picture">
            <wp:extent cx="5760720" cy="3161899"/>
            <wp:docPr id="12" name="Picture 12"/>
            <wp:cNvGraphicFramePr>
              <a:graphicFrameLocks noChangeAspect="1"/>
            </wp:cNvGraphicFramePr>
            <a:graphic>
              <a:graphicData uri="http://schemas.openxmlformats.org/drawingml/2006/picture">
                <pic:pic>
                  <pic:nvPicPr>
                    <pic:cNvPr id="0" name="chart_11_work_life_balance.png"/>
                    <pic:cNvPicPr/>
                  </pic:nvPicPr>
                  <pic:blipFill>
                    <a:blip r:embed="rId20"/>
                    <a:stretch>
                      <a:fillRect/>
                    </a:stretch>
                  </pic:blipFill>
                  <pic:spPr>
                    <a:xfrm>
                      <a:off x="0" y="0"/>
                      <a:ext cx="5760720" cy="3161899"/>
                    </a:xfrm>
                    <a:prstGeom prst="rect"/>
                  </pic:spPr>
                </pic:pic>
              </a:graphicData>
            </a:graphic>
          </wp:inline>
        </w:drawing>
      </w:r>
    </w:p>
    <w:p>
      <w:pPr>
        <w:spacing w:after="280"/>
        <w:jc w:val="center"/>
      </w:pPr>
      <w:r>
        <w:rPr>
          <w:color w:val="475569"/>
          <w:sz w:val="18"/>
        </w:rPr>
        <w:t>Figure 12 — Attrition by Work-Life Balance</w:t>
        <w:br/>
        <w:t>Poor WLB (Level 1): 31.25% attrition.</w:t>
      </w:r>
    </w:p>
    <w:p>
      <w:pPr>
        <w:jc w:val="center"/>
      </w:pPr>
      <w:r>
        <w:drawing>
          <wp:inline xmlns:a="http://schemas.openxmlformats.org/drawingml/2006/main" xmlns:pic="http://schemas.openxmlformats.org/drawingml/2006/picture">
            <wp:extent cx="5760720" cy="1766944"/>
            <wp:docPr id="13" name="Picture 13"/>
            <wp:cNvGraphicFramePr>
              <a:graphicFrameLocks noChangeAspect="1"/>
            </wp:cNvGraphicFramePr>
            <a:graphic>
              <a:graphicData uri="http://schemas.openxmlformats.org/drawingml/2006/picture">
                <pic:pic>
                  <pic:nvPicPr>
                    <pic:cNvPr id="0" name="chart_12_income.png"/>
                    <pic:cNvPicPr/>
                  </pic:nvPicPr>
                  <pic:blipFill>
                    <a:blip r:embed="rId21"/>
                    <a:stretch>
                      <a:fillRect/>
                    </a:stretch>
                  </pic:blipFill>
                  <pic:spPr>
                    <a:xfrm>
                      <a:off x="0" y="0"/>
                      <a:ext cx="5760720" cy="1766944"/>
                    </a:xfrm>
                    <a:prstGeom prst="rect"/>
                  </pic:spPr>
                </pic:pic>
              </a:graphicData>
            </a:graphic>
          </wp:inline>
        </w:drawing>
      </w:r>
    </w:p>
    <w:p>
      <w:pPr>
        <w:spacing w:after="280"/>
        <w:jc w:val="center"/>
      </w:pPr>
      <w:r>
        <w:rPr>
          <w:color w:val="475569"/>
          <w:sz w:val="18"/>
        </w:rPr>
        <w:t>Figure 13 — Average Monthly Income by Department and Job Role</w:t>
        <w:br/>
        <w:t>Managers earn most ($17,182); Sales Representatives earn least ($2,626).</w:t>
      </w:r>
    </w:p>
    <w:p>
      <w:pPr>
        <w:jc w:val="center"/>
      </w:pPr>
      <w:r>
        <w:drawing>
          <wp:inline xmlns:a="http://schemas.openxmlformats.org/drawingml/2006/main" xmlns:pic="http://schemas.openxmlformats.org/drawingml/2006/picture">
            <wp:extent cx="5760720" cy="2021791"/>
            <wp:docPr id="14" name="Picture 14"/>
            <wp:cNvGraphicFramePr>
              <a:graphicFrameLocks noChangeAspect="1"/>
            </wp:cNvGraphicFramePr>
            <a:graphic>
              <a:graphicData uri="http://schemas.openxmlformats.org/drawingml/2006/picture">
                <pic:pic>
                  <pic:nvPicPr>
                    <pic:cNvPr id="0" name="chart_13_distributions.png"/>
                    <pic:cNvPicPr/>
                  </pic:nvPicPr>
                  <pic:blipFill>
                    <a:blip r:embed="rId22"/>
                    <a:stretch>
                      <a:fillRect/>
                    </a:stretch>
                  </pic:blipFill>
                  <pic:spPr>
                    <a:xfrm>
                      <a:off x="0" y="0"/>
                      <a:ext cx="5760720" cy="2021791"/>
                    </a:xfrm>
                    <a:prstGeom prst="rect"/>
                  </pic:spPr>
                </pic:pic>
              </a:graphicData>
            </a:graphic>
          </wp:inline>
        </w:drawing>
      </w:r>
    </w:p>
    <w:p>
      <w:pPr>
        <w:spacing w:after="280"/>
        <w:jc w:val="center"/>
      </w:pPr>
      <w:r>
        <w:rPr>
          <w:color w:val="475569"/>
          <w:sz w:val="18"/>
        </w:rPr>
        <w:t>Figure 14 — Years at Company &amp; Monthly Income Distributions</w:t>
        <w:br/>
        <w:t>Leavers averaged 5.1 years tenure vs stayers at 7.4 years.</w:t>
      </w:r>
    </w:p>
    <w:p>
      <w:pPr>
        <w:jc w:val="center"/>
      </w:pPr>
      <w:r>
        <w:drawing>
          <wp:inline xmlns:a="http://schemas.openxmlformats.org/drawingml/2006/main" xmlns:pic="http://schemas.openxmlformats.org/drawingml/2006/picture">
            <wp:extent cx="5760720" cy="2362542"/>
            <wp:docPr id="15" name="Picture 15"/>
            <wp:cNvGraphicFramePr>
              <a:graphicFrameLocks noChangeAspect="1"/>
            </wp:cNvGraphicFramePr>
            <a:graphic>
              <a:graphicData uri="http://schemas.openxmlformats.org/drawingml/2006/picture">
                <pic:pic>
                  <pic:nvPicPr>
                    <pic:cNvPr id="0" name="chart_14_stayed_vs_left.png"/>
                    <pic:cNvPicPr/>
                  </pic:nvPicPr>
                  <pic:blipFill>
                    <a:blip r:embed="rId23"/>
                    <a:stretch>
                      <a:fillRect/>
                    </a:stretch>
                  </pic:blipFill>
                  <pic:spPr>
                    <a:xfrm>
                      <a:off x="0" y="0"/>
                      <a:ext cx="5760720" cy="2362542"/>
                    </a:xfrm>
                    <a:prstGeom prst="rect"/>
                  </pic:spPr>
                </pic:pic>
              </a:graphicData>
            </a:graphic>
          </wp:inline>
        </w:drawing>
      </w:r>
    </w:p>
    <w:p>
      <w:pPr>
        <w:spacing w:after="280"/>
        <w:jc w:val="center"/>
      </w:pPr>
      <w:r>
        <w:rPr>
          <w:color w:val="475569"/>
          <w:sz w:val="18"/>
        </w:rPr>
        <w:t>Figure 15 — Employee Profile: Stayed vs Left</w:t>
        <w:br/>
        <w:t>Systematic differences in age, income, tenure, and experience between the two groups.</w:t>
      </w:r>
    </w:p>
    <w:p>
      <w:pPr>
        <w:jc w:val="center"/>
      </w:pPr>
      <w:r>
        <w:drawing>
          <wp:inline xmlns:a="http://schemas.openxmlformats.org/drawingml/2006/main" xmlns:pic="http://schemas.openxmlformats.org/drawingml/2006/picture">
            <wp:extent cx="5760720" cy="5298860"/>
            <wp:docPr id="16" name="Picture 16"/>
            <wp:cNvGraphicFramePr>
              <a:graphicFrameLocks noChangeAspect="1"/>
            </wp:cNvGraphicFramePr>
            <a:graphic>
              <a:graphicData uri="http://schemas.openxmlformats.org/drawingml/2006/picture">
                <pic:pic>
                  <pic:nvPicPr>
                    <pic:cNvPr id="0" name="chart_15_correlation.png"/>
                    <pic:cNvPicPr/>
                  </pic:nvPicPr>
                  <pic:blipFill>
                    <a:blip r:embed="rId24"/>
                    <a:stretch>
                      <a:fillRect/>
                    </a:stretch>
                  </pic:blipFill>
                  <pic:spPr>
                    <a:xfrm>
                      <a:off x="0" y="0"/>
                      <a:ext cx="5760720" cy="5298860"/>
                    </a:xfrm>
                    <a:prstGeom prst="rect"/>
                  </pic:spPr>
                </pic:pic>
              </a:graphicData>
            </a:graphic>
          </wp:inline>
        </w:drawing>
      </w:r>
    </w:p>
    <w:p>
      <w:pPr>
        <w:spacing w:after="280"/>
        <w:jc w:val="center"/>
      </w:pPr>
      <w:r>
        <w:rPr>
          <w:color w:val="475569"/>
          <w:sz w:val="18"/>
        </w:rPr>
        <w:t>Figure 16 — Correlation Heatmap (11 Variables)</w:t>
        <w:br/>
        <w:t>Strong career-progression correlations; attrition binary correlates negatively with seniority.</w:t>
      </w:r>
    </w:p>
    <w:p>
      <w:pPr>
        <w:jc w:val="center"/>
      </w:pPr>
      <w:r>
        <w:drawing>
          <wp:inline xmlns:a="http://schemas.openxmlformats.org/drawingml/2006/main" xmlns:pic="http://schemas.openxmlformats.org/drawingml/2006/picture">
            <wp:extent cx="5760720" cy="2841436"/>
            <wp:docPr id="17" name="Picture 17"/>
            <wp:cNvGraphicFramePr>
              <a:graphicFrameLocks noChangeAspect="1"/>
            </wp:cNvGraphicFramePr>
            <a:graphic>
              <a:graphicData uri="http://schemas.openxmlformats.org/drawingml/2006/picture">
                <pic:pic>
                  <pic:nvPicPr>
                    <pic:cNvPr id="0" name="chart_16_income_group.png"/>
                    <pic:cNvPicPr/>
                  </pic:nvPicPr>
                  <pic:blipFill>
                    <a:blip r:embed="rId25"/>
                    <a:stretch>
                      <a:fillRect/>
                    </a:stretch>
                  </pic:blipFill>
                  <pic:spPr>
                    <a:xfrm>
                      <a:off x="0" y="0"/>
                      <a:ext cx="5760720" cy="2841436"/>
                    </a:xfrm>
                    <a:prstGeom prst="rect"/>
                  </pic:spPr>
                </pic:pic>
              </a:graphicData>
            </a:graphic>
          </wp:inline>
        </w:drawing>
      </w:r>
    </w:p>
    <w:p>
      <w:pPr>
        <w:spacing w:after="280"/>
        <w:jc w:val="center"/>
      </w:pPr>
      <w:r>
        <w:rPr>
          <w:color w:val="475569"/>
          <w:sz w:val="18"/>
        </w:rPr>
        <w:t>Figure 17 — Attrition by Income Group</w:t>
        <w:br/>
        <w:t>Low-income employees (&lt;$3K/month) leave at 34.71% — the highest of any income band.</w:t>
      </w:r>
    </w:p>
    <w:p>
      <w:r>
        <w:br w:type="page"/>
      </w:r>
    </w:p>
    <w:p>
      <w:pPr>
        <w:pStyle w:val="Heading1"/>
      </w:pPr>
      <w:r>
        <w:rPr>
          <w:color w:val="1E293B"/>
        </w:rPr>
        <w:t>7.  Key Business Metrics</w:t>
      </w:r>
    </w:p>
    <w:p>
      <w:r>
        <w:t>All metrics below were calculated directly from the 1,470-record dataset.</w:t>
      </w:r>
    </w:p>
    <w:tbl>
      <w:tblPr>
        <w:tblStyle w:val="TableGrid"/>
        <w:tblW w:type="auto" w:w="0"/>
        <w:tblLook w:firstColumn="1" w:firstRow="1" w:lastColumn="0" w:lastRow="0" w:noHBand="0" w:noVBand="1" w:val="04A0"/>
      </w:tblPr>
      <w:tblGrid>
        <w:gridCol w:w="4535"/>
        <w:gridCol w:w="2835"/>
      </w:tblGrid>
      <w:tr>
        <w:tc>
          <w:tcPr>
            <w:tcW w:type="dxa" w:w="4703"/>
            <w:shd w:val="clear" w:color="auto" w:fill="1e40af"/>
          </w:tcPr>
          <w:p>
            <w:r>
              <w:rPr>
                <w:b/>
                <w:color w:val="FFFFFF"/>
                <w:sz w:val="22"/>
              </w:rPr>
              <w:t>Metric</w:t>
            </w:r>
          </w:p>
        </w:tc>
        <w:tc>
          <w:tcPr>
            <w:tcW w:type="dxa" w:w="4703"/>
            <w:shd w:val="clear" w:color="auto" w:fill="1e40af"/>
          </w:tcPr>
          <w:p>
            <w:r>
              <w:rPr>
                <w:b/>
                <w:color w:val="FFFFFF"/>
                <w:sz w:val="22"/>
              </w:rPr>
              <w:t>Value</w:t>
            </w:r>
          </w:p>
        </w:tc>
      </w:tr>
      <w:tr>
        <w:tc>
          <w:tcPr>
            <w:tcW w:type="dxa" w:w="4703"/>
          </w:tcPr>
          <w:p>
            <w:r>
              <w:rPr>
                <w:sz w:val="22"/>
              </w:rPr>
              <w:t>Total Employees</w:t>
            </w:r>
          </w:p>
        </w:tc>
        <w:tc>
          <w:tcPr>
            <w:tcW w:type="dxa" w:w="4703"/>
          </w:tcPr>
          <w:p>
            <w:r>
              <w:rPr>
                <w:sz w:val="22"/>
              </w:rPr>
              <w:t>1,470</w:t>
            </w:r>
          </w:p>
        </w:tc>
      </w:tr>
      <w:tr>
        <w:tc>
          <w:tcPr>
            <w:tcW w:type="dxa" w:w="4703"/>
            <w:shd w:val="clear" w:color="auto" w:fill="eff6ff"/>
          </w:tcPr>
          <w:p>
            <w:r>
              <w:rPr>
                <w:sz w:val="22"/>
              </w:rPr>
              <w:t>Employees Who Left</w:t>
            </w:r>
          </w:p>
        </w:tc>
        <w:tc>
          <w:tcPr>
            <w:tcW w:type="dxa" w:w="4703"/>
            <w:shd w:val="clear" w:color="auto" w:fill="eff6ff"/>
          </w:tcPr>
          <w:p>
            <w:r>
              <w:rPr>
                <w:sz w:val="22"/>
              </w:rPr>
              <w:t>237</w:t>
            </w:r>
          </w:p>
        </w:tc>
      </w:tr>
      <w:tr>
        <w:tc>
          <w:tcPr>
            <w:tcW w:type="dxa" w:w="4703"/>
          </w:tcPr>
          <w:p>
            <w:r>
              <w:rPr>
                <w:sz w:val="22"/>
              </w:rPr>
              <w:t>Active Employees</w:t>
            </w:r>
          </w:p>
        </w:tc>
        <w:tc>
          <w:tcPr>
            <w:tcW w:type="dxa" w:w="4703"/>
          </w:tcPr>
          <w:p>
            <w:r>
              <w:rPr>
                <w:sz w:val="22"/>
              </w:rPr>
              <w:t>1,233</w:t>
            </w:r>
          </w:p>
        </w:tc>
      </w:tr>
      <w:tr>
        <w:tc>
          <w:tcPr>
            <w:tcW w:type="dxa" w:w="4703"/>
            <w:shd w:val="clear" w:color="auto" w:fill="eff6ff"/>
          </w:tcPr>
          <w:p>
            <w:r>
              <w:rPr>
                <w:sz w:val="22"/>
              </w:rPr>
              <w:t>Overall Attrition Rate</w:t>
            </w:r>
          </w:p>
        </w:tc>
        <w:tc>
          <w:tcPr>
            <w:tcW w:type="dxa" w:w="4703"/>
            <w:shd w:val="clear" w:color="auto" w:fill="eff6ff"/>
          </w:tcPr>
          <w:p>
            <w:r>
              <w:rPr>
                <w:sz w:val="22"/>
              </w:rPr>
              <w:t>16.12%</w:t>
            </w:r>
          </w:p>
        </w:tc>
      </w:tr>
      <w:tr>
        <w:tc>
          <w:tcPr>
            <w:tcW w:type="dxa" w:w="4703"/>
          </w:tcPr>
          <w:p>
            <w:r>
              <w:rPr>
                <w:sz w:val="22"/>
              </w:rPr>
              <w:t>Average Age</w:t>
            </w:r>
          </w:p>
        </w:tc>
        <w:tc>
          <w:tcPr>
            <w:tcW w:type="dxa" w:w="4703"/>
          </w:tcPr>
          <w:p>
            <w:r>
              <w:rPr>
                <w:sz w:val="22"/>
              </w:rPr>
              <w:t>36.92 years</w:t>
            </w:r>
          </w:p>
        </w:tc>
      </w:tr>
      <w:tr>
        <w:tc>
          <w:tcPr>
            <w:tcW w:type="dxa" w:w="4703"/>
            <w:shd w:val="clear" w:color="auto" w:fill="eff6ff"/>
          </w:tcPr>
          <w:p>
            <w:r>
              <w:rPr>
                <w:sz w:val="22"/>
              </w:rPr>
              <w:t>Average Monthly Income</w:t>
            </w:r>
          </w:p>
        </w:tc>
        <w:tc>
          <w:tcPr>
            <w:tcW w:type="dxa" w:w="4703"/>
            <w:shd w:val="clear" w:color="auto" w:fill="eff6ff"/>
          </w:tcPr>
          <w:p>
            <w:r>
              <w:rPr>
                <w:sz w:val="22"/>
              </w:rPr>
              <w:t>$6,502.93</w:t>
            </w:r>
          </w:p>
        </w:tc>
      </w:tr>
      <w:tr>
        <w:tc>
          <w:tcPr>
            <w:tcW w:type="dxa" w:w="4703"/>
          </w:tcPr>
          <w:p>
            <w:r>
              <w:rPr>
                <w:sz w:val="22"/>
              </w:rPr>
              <w:t>Average Years at Company</w:t>
            </w:r>
          </w:p>
        </w:tc>
        <w:tc>
          <w:tcPr>
            <w:tcW w:type="dxa" w:w="4703"/>
          </w:tcPr>
          <w:p>
            <w:r>
              <w:rPr>
                <w:sz w:val="22"/>
              </w:rPr>
              <w:t>7.01 years</w:t>
            </w:r>
          </w:p>
        </w:tc>
      </w:tr>
      <w:tr>
        <w:tc>
          <w:tcPr>
            <w:tcW w:type="dxa" w:w="4703"/>
            <w:shd w:val="clear" w:color="auto" w:fill="eff6ff"/>
          </w:tcPr>
          <w:p>
            <w:r>
              <w:rPr>
                <w:sz w:val="22"/>
              </w:rPr>
              <w:t>Average Job Satisfaction</w:t>
            </w:r>
          </w:p>
        </w:tc>
        <w:tc>
          <w:tcPr>
            <w:tcW w:type="dxa" w:w="4703"/>
            <w:shd w:val="clear" w:color="auto" w:fill="eff6ff"/>
          </w:tcPr>
          <w:p>
            <w:r>
              <w:rPr>
                <w:sz w:val="22"/>
              </w:rPr>
              <w:t>2.73 / 4</w:t>
            </w:r>
          </w:p>
        </w:tc>
      </w:tr>
      <w:tr>
        <w:tc>
          <w:tcPr>
            <w:tcW w:type="dxa" w:w="4703"/>
          </w:tcPr>
          <w:p>
            <w:r>
              <w:rPr>
                <w:sz w:val="22"/>
              </w:rPr>
              <w:t>Average Work-Life Balance</w:t>
            </w:r>
          </w:p>
        </w:tc>
        <w:tc>
          <w:tcPr>
            <w:tcW w:type="dxa" w:w="4703"/>
          </w:tcPr>
          <w:p>
            <w:r>
              <w:rPr>
                <w:sz w:val="22"/>
              </w:rPr>
              <w:t>2.76 / 4</w:t>
            </w:r>
          </w:p>
        </w:tc>
      </w:tr>
      <w:tr>
        <w:tc>
          <w:tcPr>
            <w:tcW w:type="dxa" w:w="4703"/>
            <w:shd w:val="clear" w:color="auto" w:fill="eff6ff"/>
          </w:tcPr>
          <w:p>
            <w:r>
              <w:rPr>
                <w:sz w:val="22"/>
              </w:rPr>
              <w:t>Average Years in Current Role</w:t>
            </w:r>
          </w:p>
        </w:tc>
        <w:tc>
          <w:tcPr>
            <w:tcW w:type="dxa" w:w="4703"/>
            <w:shd w:val="clear" w:color="auto" w:fill="eff6ff"/>
          </w:tcPr>
          <w:p>
            <w:r>
              <w:rPr>
                <w:sz w:val="22"/>
              </w:rPr>
              <w:t>4.23 years</w:t>
            </w:r>
          </w:p>
        </w:tc>
      </w:tr>
    </w:tbl>
    <w:p/>
    <w:p>
      <w:pPr>
        <w:pStyle w:val="Heading1"/>
      </w:pPr>
      <w:r>
        <w:rPr>
          <w:color w:val="1E293B"/>
        </w:rPr>
        <w:t>8.  Exploratory Data Analysis</w:t>
      </w:r>
    </w:p>
    <w:p>
      <w:pPr>
        <w:pStyle w:val="Heading2"/>
      </w:pPr>
      <w:r>
        <w:rPr>
          <w:color w:val="1E40AF"/>
        </w:rPr>
        <w:t>8.1  Attrition by Department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20"/>
              </w:rPr>
              <w:t>Department</w:t>
            </w:r>
          </w:p>
        </w:tc>
        <w:tc>
          <w:tcPr>
            <w:tcW w:type="dxa" w:w="2351"/>
            <w:shd w:val="clear" w:color="auto" w:fill="1e40af"/>
          </w:tcPr>
          <w:p>
            <w:r>
              <w:rPr>
                <w:b/>
                <w:color w:val="FFFFFF"/>
                <w:sz w:val="20"/>
              </w:rPr>
              <w:t>Total</w:t>
            </w:r>
          </w:p>
        </w:tc>
        <w:tc>
          <w:tcPr>
            <w:tcW w:type="dxa" w:w="2351"/>
            <w:shd w:val="clear" w:color="auto" w:fill="1e40af"/>
          </w:tcPr>
          <w:p>
            <w:r>
              <w:rPr>
                <w:b/>
                <w:color w:val="FFFFFF"/>
                <w:sz w:val="20"/>
              </w:rPr>
              <w:t>Left</w:t>
            </w:r>
          </w:p>
        </w:tc>
        <w:tc>
          <w:tcPr>
            <w:tcW w:type="dxa" w:w="2351"/>
            <w:shd w:val="clear" w:color="auto" w:fill="1e40af"/>
          </w:tcPr>
          <w:p>
            <w:r>
              <w:rPr>
                <w:b/>
                <w:color w:val="FFFFFF"/>
                <w:sz w:val="20"/>
              </w:rPr>
              <w:t>Attrition Rate</w:t>
            </w:r>
          </w:p>
        </w:tc>
      </w:tr>
      <w:tr>
        <w:tc>
          <w:tcPr>
            <w:tcW w:type="dxa" w:w="2351"/>
          </w:tcPr>
          <w:p>
            <w:r>
              <w:rPr>
                <w:sz w:val="20"/>
              </w:rPr>
              <w:t>Sales</w:t>
            </w:r>
          </w:p>
        </w:tc>
        <w:tc>
          <w:tcPr>
            <w:tcW w:type="dxa" w:w="2351"/>
          </w:tcPr>
          <w:p>
            <w:r>
              <w:rPr>
                <w:sz w:val="20"/>
              </w:rPr>
              <w:t>446</w:t>
            </w:r>
          </w:p>
        </w:tc>
        <w:tc>
          <w:tcPr>
            <w:tcW w:type="dxa" w:w="2351"/>
          </w:tcPr>
          <w:p>
            <w:r>
              <w:rPr>
                <w:sz w:val="20"/>
              </w:rPr>
              <w:t>92</w:t>
            </w:r>
          </w:p>
        </w:tc>
        <w:tc>
          <w:tcPr>
            <w:tcW w:type="dxa" w:w="2351"/>
          </w:tcPr>
          <w:p>
            <w:r>
              <w:rPr>
                <w:sz w:val="20"/>
              </w:rPr>
              <w:t>20.63%</w:t>
            </w:r>
          </w:p>
        </w:tc>
      </w:tr>
      <w:tr>
        <w:tc>
          <w:tcPr>
            <w:tcW w:type="dxa" w:w="2351"/>
            <w:shd w:val="clear" w:color="auto" w:fill="eff6ff"/>
          </w:tcPr>
          <w:p>
            <w:r>
              <w:rPr>
                <w:sz w:val="20"/>
              </w:rPr>
              <w:t>Human Resources</w:t>
            </w:r>
          </w:p>
        </w:tc>
        <w:tc>
          <w:tcPr>
            <w:tcW w:type="dxa" w:w="2351"/>
            <w:shd w:val="clear" w:color="auto" w:fill="eff6ff"/>
          </w:tcPr>
          <w:p>
            <w:r>
              <w:rPr>
                <w:sz w:val="20"/>
              </w:rPr>
              <w:t>63</w:t>
            </w:r>
          </w:p>
        </w:tc>
        <w:tc>
          <w:tcPr>
            <w:tcW w:type="dxa" w:w="2351"/>
            <w:shd w:val="clear" w:color="auto" w:fill="eff6ff"/>
          </w:tcPr>
          <w:p>
            <w:r>
              <w:rPr>
                <w:sz w:val="20"/>
              </w:rPr>
              <w:t>12</w:t>
            </w:r>
          </w:p>
        </w:tc>
        <w:tc>
          <w:tcPr>
            <w:tcW w:type="dxa" w:w="2351"/>
            <w:shd w:val="clear" w:color="auto" w:fill="eff6ff"/>
          </w:tcPr>
          <w:p>
            <w:r>
              <w:rPr>
                <w:sz w:val="20"/>
              </w:rPr>
              <w:t>19.05%</w:t>
            </w:r>
          </w:p>
        </w:tc>
      </w:tr>
      <w:tr>
        <w:tc>
          <w:tcPr>
            <w:tcW w:type="dxa" w:w="2351"/>
          </w:tcPr>
          <w:p>
            <w:r>
              <w:rPr>
                <w:sz w:val="20"/>
              </w:rPr>
              <w:t>Research &amp; Development</w:t>
            </w:r>
          </w:p>
        </w:tc>
        <w:tc>
          <w:tcPr>
            <w:tcW w:type="dxa" w:w="2351"/>
          </w:tcPr>
          <w:p>
            <w:r>
              <w:rPr>
                <w:sz w:val="20"/>
              </w:rPr>
              <w:t>961</w:t>
            </w:r>
          </w:p>
        </w:tc>
        <w:tc>
          <w:tcPr>
            <w:tcW w:type="dxa" w:w="2351"/>
          </w:tcPr>
          <w:p>
            <w:r>
              <w:rPr>
                <w:sz w:val="20"/>
              </w:rPr>
              <w:t>133</w:t>
            </w:r>
          </w:p>
        </w:tc>
        <w:tc>
          <w:tcPr>
            <w:tcW w:type="dxa" w:w="2351"/>
          </w:tcPr>
          <w:p>
            <w:r>
              <w:rPr>
                <w:sz w:val="20"/>
              </w:rPr>
              <w:t>13.84%</w:t>
            </w:r>
          </w:p>
        </w:tc>
      </w:tr>
    </w:tbl>
    <w:p>
      <w:r>
        <w:rPr>
          <w:sz w:val="20"/>
        </w:rPr>
        <w:t>Sales exceeds the company average (20.63%); R&amp;D is below average (13.84%).</w:t>
      </w:r>
    </w:p>
    <w:p/>
    <w:p>
      <w:pPr>
        <w:pStyle w:val="Heading2"/>
      </w:pPr>
      <w:r>
        <w:rPr>
          <w:color w:val="1E40AF"/>
        </w:rPr>
        <w:t>8.2  Attrition by Job Role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20"/>
              </w:rPr>
              <w:t>Job Role</w:t>
            </w:r>
          </w:p>
        </w:tc>
        <w:tc>
          <w:tcPr>
            <w:tcW w:type="dxa" w:w="2351"/>
            <w:shd w:val="clear" w:color="auto" w:fill="1e40af"/>
          </w:tcPr>
          <w:p>
            <w:r>
              <w:rPr>
                <w:b/>
                <w:color w:val="FFFFFF"/>
                <w:sz w:val="20"/>
              </w:rPr>
              <w:t>Total</w:t>
            </w:r>
          </w:p>
        </w:tc>
        <w:tc>
          <w:tcPr>
            <w:tcW w:type="dxa" w:w="2351"/>
            <w:shd w:val="clear" w:color="auto" w:fill="1e40af"/>
          </w:tcPr>
          <w:p>
            <w:r>
              <w:rPr>
                <w:b/>
                <w:color w:val="FFFFFF"/>
                <w:sz w:val="20"/>
              </w:rPr>
              <w:t>Left</w:t>
            </w:r>
          </w:p>
        </w:tc>
        <w:tc>
          <w:tcPr>
            <w:tcW w:type="dxa" w:w="2351"/>
            <w:shd w:val="clear" w:color="auto" w:fill="1e40af"/>
          </w:tcPr>
          <w:p>
            <w:r>
              <w:rPr>
                <w:b/>
                <w:color w:val="FFFFFF"/>
                <w:sz w:val="20"/>
              </w:rPr>
              <w:t>Attrition Rate</w:t>
            </w:r>
          </w:p>
        </w:tc>
      </w:tr>
      <w:tr>
        <w:tc>
          <w:tcPr>
            <w:tcW w:type="dxa" w:w="2351"/>
          </w:tcPr>
          <w:p>
            <w:r>
              <w:rPr>
                <w:sz w:val="20"/>
              </w:rPr>
              <w:t>Sales Representative</w:t>
            </w:r>
          </w:p>
        </w:tc>
        <w:tc>
          <w:tcPr>
            <w:tcW w:type="dxa" w:w="2351"/>
          </w:tcPr>
          <w:p>
            <w:r>
              <w:rPr>
                <w:sz w:val="20"/>
              </w:rPr>
              <w:t>83</w:t>
            </w:r>
          </w:p>
        </w:tc>
        <w:tc>
          <w:tcPr>
            <w:tcW w:type="dxa" w:w="2351"/>
          </w:tcPr>
          <w:p>
            <w:r>
              <w:rPr>
                <w:sz w:val="20"/>
              </w:rPr>
              <w:t>33</w:t>
            </w:r>
          </w:p>
        </w:tc>
        <w:tc>
          <w:tcPr>
            <w:tcW w:type="dxa" w:w="2351"/>
          </w:tcPr>
          <w:p>
            <w:r>
              <w:rPr>
                <w:sz w:val="20"/>
              </w:rPr>
              <w:t>39.76%</w:t>
            </w:r>
          </w:p>
        </w:tc>
      </w:tr>
      <w:tr>
        <w:tc>
          <w:tcPr>
            <w:tcW w:type="dxa" w:w="2351"/>
            <w:shd w:val="clear" w:color="auto" w:fill="eff6ff"/>
          </w:tcPr>
          <w:p>
            <w:r>
              <w:rPr>
                <w:sz w:val="20"/>
              </w:rPr>
              <w:t>Laboratory Technician</w:t>
            </w:r>
          </w:p>
        </w:tc>
        <w:tc>
          <w:tcPr>
            <w:tcW w:type="dxa" w:w="2351"/>
            <w:shd w:val="clear" w:color="auto" w:fill="eff6ff"/>
          </w:tcPr>
          <w:p>
            <w:r>
              <w:rPr>
                <w:sz w:val="20"/>
              </w:rPr>
              <w:t>259</w:t>
            </w:r>
          </w:p>
        </w:tc>
        <w:tc>
          <w:tcPr>
            <w:tcW w:type="dxa" w:w="2351"/>
            <w:shd w:val="clear" w:color="auto" w:fill="eff6ff"/>
          </w:tcPr>
          <w:p>
            <w:r>
              <w:rPr>
                <w:sz w:val="20"/>
              </w:rPr>
              <w:t>62</w:t>
            </w:r>
          </w:p>
        </w:tc>
        <w:tc>
          <w:tcPr>
            <w:tcW w:type="dxa" w:w="2351"/>
            <w:shd w:val="clear" w:color="auto" w:fill="eff6ff"/>
          </w:tcPr>
          <w:p>
            <w:r>
              <w:rPr>
                <w:sz w:val="20"/>
              </w:rPr>
              <w:t>23.94%</w:t>
            </w:r>
          </w:p>
        </w:tc>
      </w:tr>
      <w:tr>
        <w:tc>
          <w:tcPr>
            <w:tcW w:type="dxa" w:w="2351"/>
          </w:tcPr>
          <w:p>
            <w:r>
              <w:rPr>
                <w:sz w:val="20"/>
              </w:rPr>
              <w:t>Human Resources</w:t>
            </w:r>
          </w:p>
        </w:tc>
        <w:tc>
          <w:tcPr>
            <w:tcW w:type="dxa" w:w="2351"/>
          </w:tcPr>
          <w:p>
            <w:r>
              <w:rPr>
                <w:sz w:val="20"/>
              </w:rPr>
              <w:t>52</w:t>
            </w:r>
          </w:p>
        </w:tc>
        <w:tc>
          <w:tcPr>
            <w:tcW w:type="dxa" w:w="2351"/>
          </w:tcPr>
          <w:p>
            <w:r>
              <w:rPr>
                <w:sz w:val="20"/>
              </w:rPr>
              <w:t>12</w:t>
            </w:r>
          </w:p>
        </w:tc>
        <w:tc>
          <w:tcPr>
            <w:tcW w:type="dxa" w:w="2351"/>
          </w:tcPr>
          <w:p>
            <w:r>
              <w:rPr>
                <w:sz w:val="20"/>
              </w:rPr>
              <w:t>23.08%</w:t>
            </w:r>
          </w:p>
        </w:tc>
      </w:tr>
      <w:tr>
        <w:tc>
          <w:tcPr>
            <w:tcW w:type="dxa" w:w="2351"/>
            <w:shd w:val="clear" w:color="auto" w:fill="eff6ff"/>
          </w:tcPr>
          <w:p>
            <w:r>
              <w:rPr>
                <w:sz w:val="20"/>
              </w:rPr>
              <w:t>Sales Executive</w:t>
            </w:r>
          </w:p>
        </w:tc>
        <w:tc>
          <w:tcPr>
            <w:tcW w:type="dxa" w:w="2351"/>
            <w:shd w:val="clear" w:color="auto" w:fill="eff6ff"/>
          </w:tcPr>
          <w:p>
            <w:r>
              <w:rPr>
                <w:sz w:val="20"/>
              </w:rPr>
              <w:t>326</w:t>
            </w:r>
          </w:p>
        </w:tc>
        <w:tc>
          <w:tcPr>
            <w:tcW w:type="dxa" w:w="2351"/>
            <w:shd w:val="clear" w:color="auto" w:fill="eff6ff"/>
          </w:tcPr>
          <w:p>
            <w:r>
              <w:rPr>
                <w:sz w:val="20"/>
              </w:rPr>
              <w:t>57</w:t>
            </w:r>
          </w:p>
        </w:tc>
        <w:tc>
          <w:tcPr>
            <w:tcW w:type="dxa" w:w="2351"/>
            <w:shd w:val="clear" w:color="auto" w:fill="eff6ff"/>
          </w:tcPr>
          <w:p>
            <w:r>
              <w:rPr>
                <w:sz w:val="20"/>
              </w:rPr>
              <w:t>17.48%</w:t>
            </w:r>
          </w:p>
        </w:tc>
      </w:tr>
      <w:tr>
        <w:tc>
          <w:tcPr>
            <w:tcW w:type="dxa" w:w="2351"/>
          </w:tcPr>
          <w:p>
            <w:r>
              <w:rPr>
                <w:sz w:val="20"/>
              </w:rPr>
              <w:t>Research Scientist</w:t>
            </w:r>
          </w:p>
        </w:tc>
        <w:tc>
          <w:tcPr>
            <w:tcW w:type="dxa" w:w="2351"/>
          </w:tcPr>
          <w:p>
            <w:r>
              <w:rPr>
                <w:sz w:val="20"/>
              </w:rPr>
              <w:t>292</w:t>
            </w:r>
          </w:p>
        </w:tc>
        <w:tc>
          <w:tcPr>
            <w:tcW w:type="dxa" w:w="2351"/>
          </w:tcPr>
          <w:p>
            <w:r>
              <w:rPr>
                <w:sz w:val="20"/>
              </w:rPr>
              <w:t>47</w:t>
            </w:r>
          </w:p>
        </w:tc>
        <w:tc>
          <w:tcPr>
            <w:tcW w:type="dxa" w:w="2351"/>
          </w:tcPr>
          <w:p>
            <w:r>
              <w:rPr>
                <w:sz w:val="20"/>
              </w:rPr>
              <w:t>16.10%</w:t>
            </w:r>
          </w:p>
        </w:tc>
      </w:tr>
      <w:tr>
        <w:tc>
          <w:tcPr>
            <w:tcW w:type="dxa" w:w="2351"/>
            <w:shd w:val="clear" w:color="auto" w:fill="eff6ff"/>
          </w:tcPr>
          <w:p>
            <w:r>
              <w:rPr>
                <w:sz w:val="20"/>
              </w:rPr>
              <w:t>Manufacturing Director</w:t>
            </w:r>
          </w:p>
        </w:tc>
        <w:tc>
          <w:tcPr>
            <w:tcW w:type="dxa" w:w="2351"/>
            <w:shd w:val="clear" w:color="auto" w:fill="eff6ff"/>
          </w:tcPr>
          <w:p>
            <w:r>
              <w:rPr>
                <w:sz w:val="20"/>
              </w:rPr>
              <w:t>145</w:t>
            </w:r>
          </w:p>
        </w:tc>
        <w:tc>
          <w:tcPr>
            <w:tcW w:type="dxa" w:w="2351"/>
            <w:shd w:val="clear" w:color="auto" w:fill="eff6ff"/>
          </w:tcPr>
          <w:p>
            <w:r>
              <w:rPr>
                <w:sz w:val="20"/>
              </w:rPr>
              <w:t>10</w:t>
            </w:r>
          </w:p>
        </w:tc>
        <w:tc>
          <w:tcPr>
            <w:tcW w:type="dxa" w:w="2351"/>
            <w:shd w:val="clear" w:color="auto" w:fill="eff6ff"/>
          </w:tcPr>
          <w:p>
            <w:r>
              <w:rPr>
                <w:sz w:val="20"/>
              </w:rPr>
              <w:t>6.90%</w:t>
            </w:r>
          </w:p>
        </w:tc>
      </w:tr>
      <w:tr>
        <w:tc>
          <w:tcPr>
            <w:tcW w:type="dxa" w:w="2351"/>
          </w:tcPr>
          <w:p>
            <w:r>
              <w:rPr>
                <w:sz w:val="20"/>
              </w:rPr>
              <w:t>Healthcare Representative</w:t>
            </w:r>
          </w:p>
        </w:tc>
        <w:tc>
          <w:tcPr>
            <w:tcW w:type="dxa" w:w="2351"/>
          </w:tcPr>
          <w:p>
            <w:r>
              <w:rPr>
                <w:sz w:val="20"/>
              </w:rPr>
              <w:t>131</w:t>
            </w:r>
          </w:p>
        </w:tc>
        <w:tc>
          <w:tcPr>
            <w:tcW w:type="dxa" w:w="2351"/>
          </w:tcPr>
          <w:p>
            <w:r>
              <w:rPr>
                <w:sz w:val="20"/>
              </w:rPr>
              <w:t>9</w:t>
            </w:r>
          </w:p>
        </w:tc>
        <w:tc>
          <w:tcPr>
            <w:tcW w:type="dxa" w:w="2351"/>
          </w:tcPr>
          <w:p>
            <w:r>
              <w:rPr>
                <w:sz w:val="20"/>
              </w:rPr>
              <w:t>6.87%</w:t>
            </w:r>
          </w:p>
        </w:tc>
      </w:tr>
      <w:tr>
        <w:tc>
          <w:tcPr>
            <w:tcW w:type="dxa" w:w="2351"/>
            <w:shd w:val="clear" w:color="auto" w:fill="eff6ff"/>
          </w:tcPr>
          <w:p>
            <w:r>
              <w:rPr>
                <w:sz w:val="20"/>
              </w:rPr>
              <w:t>Manager</w:t>
            </w:r>
          </w:p>
        </w:tc>
        <w:tc>
          <w:tcPr>
            <w:tcW w:type="dxa" w:w="2351"/>
            <w:shd w:val="clear" w:color="auto" w:fill="eff6ff"/>
          </w:tcPr>
          <w:p>
            <w:r>
              <w:rPr>
                <w:sz w:val="20"/>
              </w:rPr>
              <w:t>102</w:t>
            </w:r>
          </w:p>
        </w:tc>
        <w:tc>
          <w:tcPr>
            <w:tcW w:type="dxa" w:w="2351"/>
            <w:shd w:val="clear" w:color="auto" w:fill="eff6ff"/>
          </w:tcPr>
          <w:p>
            <w:r>
              <w:rPr>
                <w:sz w:val="20"/>
              </w:rPr>
              <w:t>5</w:t>
            </w:r>
          </w:p>
        </w:tc>
        <w:tc>
          <w:tcPr>
            <w:tcW w:type="dxa" w:w="2351"/>
            <w:shd w:val="clear" w:color="auto" w:fill="eff6ff"/>
          </w:tcPr>
          <w:p>
            <w:r>
              <w:rPr>
                <w:sz w:val="20"/>
              </w:rPr>
              <w:t>4.90%</w:t>
            </w:r>
          </w:p>
        </w:tc>
      </w:tr>
      <w:tr>
        <w:tc>
          <w:tcPr>
            <w:tcW w:type="dxa" w:w="2351"/>
          </w:tcPr>
          <w:p>
            <w:r>
              <w:rPr>
                <w:sz w:val="20"/>
              </w:rPr>
              <w:t>Research Director</w:t>
            </w:r>
          </w:p>
        </w:tc>
        <w:tc>
          <w:tcPr>
            <w:tcW w:type="dxa" w:w="2351"/>
          </w:tcPr>
          <w:p>
            <w:r>
              <w:rPr>
                <w:sz w:val="20"/>
              </w:rPr>
              <w:t>80</w:t>
            </w:r>
          </w:p>
        </w:tc>
        <w:tc>
          <w:tcPr>
            <w:tcW w:type="dxa" w:w="2351"/>
          </w:tcPr>
          <w:p>
            <w:r>
              <w:rPr>
                <w:sz w:val="20"/>
              </w:rPr>
              <w:t>2</w:t>
            </w:r>
          </w:p>
        </w:tc>
        <w:tc>
          <w:tcPr>
            <w:tcW w:type="dxa" w:w="2351"/>
          </w:tcPr>
          <w:p>
            <w:r>
              <w:rPr>
                <w:sz w:val="20"/>
              </w:rPr>
              <w:t>2.50%</w:t>
            </w:r>
          </w:p>
        </w:tc>
      </w:tr>
    </w:tbl>
    <w:p/>
    <w:p>
      <w:pPr>
        <w:pStyle w:val="Heading2"/>
      </w:pPr>
      <w:r>
        <w:rPr>
          <w:color w:val="1E40AF"/>
        </w:rPr>
        <w:t>8.3  Other Key Attrition Dimensions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20"/>
              </w:rPr>
              <w:t>Dimension</w:t>
            </w:r>
          </w:p>
        </w:tc>
        <w:tc>
          <w:tcPr>
            <w:tcW w:type="dxa" w:w="3135"/>
            <w:shd w:val="clear" w:color="auto" w:fill="1e40af"/>
          </w:tcPr>
          <w:p>
            <w:r>
              <w:rPr>
                <w:b/>
                <w:color w:val="FFFFFF"/>
                <w:sz w:val="20"/>
              </w:rPr>
              <w:t>Category</w:t>
            </w:r>
          </w:p>
        </w:tc>
        <w:tc>
          <w:tcPr>
            <w:tcW w:type="dxa" w:w="3135"/>
            <w:shd w:val="clear" w:color="auto" w:fill="1e40af"/>
          </w:tcPr>
          <w:p>
            <w:r>
              <w:rPr>
                <w:b/>
                <w:color w:val="FFFFFF"/>
                <w:sz w:val="20"/>
              </w:rPr>
              <w:t>Attrition Rate</w:t>
            </w:r>
          </w:p>
        </w:tc>
      </w:tr>
      <w:tr>
        <w:tc>
          <w:tcPr>
            <w:tcW w:type="dxa" w:w="3135"/>
          </w:tcPr>
          <w:p>
            <w:r>
              <w:rPr>
                <w:sz w:val="20"/>
              </w:rPr>
              <w:t>Overtime</w:t>
            </w:r>
          </w:p>
        </w:tc>
        <w:tc>
          <w:tcPr>
            <w:tcW w:type="dxa" w:w="3135"/>
          </w:tcPr>
          <w:p>
            <w:r>
              <w:rPr>
                <w:sz w:val="20"/>
              </w:rPr>
              <w:t>Yes</w:t>
            </w:r>
          </w:p>
        </w:tc>
        <w:tc>
          <w:tcPr>
            <w:tcW w:type="dxa" w:w="3135"/>
          </w:tcPr>
          <w:p>
            <w:r>
              <w:rPr>
                <w:sz w:val="20"/>
              </w:rPr>
              <w:t>30.53%</w:t>
            </w:r>
          </w:p>
        </w:tc>
      </w:tr>
      <w:tr>
        <w:tc>
          <w:tcPr>
            <w:tcW w:type="dxa" w:w="3135"/>
            <w:shd w:val="clear" w:color="auto" w:fill="eff6ff"/>
          </w:tcPr>
          <w:p>
            <w:r>
              <w:rPr>
                <w:sz w:val="20"/>
              </w:rPr>
              <w:t>Overtime</w:t>
            </w:r>
          </w:p>
        </w:tc>
        <w:tc>
          <w:tcPr>
            <w:tcW w:type="dxa" w:w="3135"/>
            <w:shd w:val="clear" w:color="auto" w:fill="eff6ff"/>
          </w:tcPr>
          <w:p>
            <w:r>
              <w:rPr>
                <w:sz w:val="20"/>
              </w:rPr>
              <w:t>No</w:t>
            </w:r>
          </w:p>
        </w:tc>
        <w:tc>
          <w:tcPr>
            <w:tcW w:type="dxa" w:w="3135"/>
            <w:shd w:val="clear" w:color="auto" w:fill="eff6ff"/>
          </w:tcPr>
          <w:p>
            <w:r>
              <w:rPr>
                <w:sz w:val="20"/>
              </w:rPr>
              <w:t>10.44%</w:t>
            </w:r>
          </w:p>
        </w:tc>
      </w:tr>
      <w:tr>
        <w:tc>
          <w:tcPr>
            <w:tcW w:type="dxa" w:w="3135"/>
          </w:tcPr>
          <w:p>
            <w:r>
              <w:rPr>
                <w:sz w:val="20"/>
              </w:rPr>
              <w:t>Age Group</w:t>
            </w:r>
          </w:p>
        </w:tc>
        <w:tc>
          <w:tcPr>
            <w:tcW w:type="dxa" w:w="3135"/>
          </w:tcPr>
          <w:p>
            <w:r>
              <w:rPr>
                <w:sz w:val="20"/>
              </w:rPr>
              <w:t>18-25</w:t>
            </w:r>
          </w:p>
        </w:tc>
        <w:tc>
          <w:tcPr>
            <w:tcW w:type="dxa" w:w="3135"/>
          </w:tcPr>
          <w:p>
            <w:r>
              <w:rPr>
                <w:sz w:val="20"/>
              </w:rPr>
              <w:t>34.78%</w:t>
            </w:r>
          </w:p>
        </w:tc>
      </w:tr>
      <w:tr>
        <w:tc>
          <w:tcPr>
            <w:tcW w:type="dxa" w:w="3135"/>
            <w:shd w:val="clear" w:color="auto" w:fill="eff6ff"/>
          </w:tcPr>
          <w:p>
            <w:r>
              <w:rPr>
                <w:sz w:val="20"/>
              </w:rPr>
              <w:t>Age Group</w:t>
            </w:r>
          </w:p>
        </w:tc>
        <w:tc>
          <w:tcPr>
            <w:tcW w:type="dxa" w:w="3135"/>
            <w:shd w:val="clear" w:color="auto" w:fill="eff6ff"/>
          </w:tcPr>
          <w:p>
            <w:r>
              <w:rPr>
                <w:sz w:val="20"/>
              </w:rPr>
              <w:t>26-35</w:t>
            </w:r>
          </w:p>
        </w:tc>
        <w:tc>
          <w:tcPr>
            <w:tcW w:type="dxa" w:w="3135"/>
            <w:shd w:val="clear" w:color="auto" w:fill="eff6ff"/>
          </w:tcPr>
          <w:p>
            <w:r>
              <w:rPr>
                <w:sz w:val="20"/>
              </w:rPr>
              <w:t>19.14%</w:t>
            </w:r>
          </w:p>
        </w:tc>
      </w:tr>
      <w:tr>
        <w:tc>
          <w:tcPr>
            <w:tcW w:type="dxa" w:w="3135"/>
          </w:tcPr>
          <w:p>
            <w:r>
              <w:rPr>
                <w:sz w:val="20"/>
              </w:rPr>
              <w:t>Age Group</w:t>
            </w:r>
          </w:p>
        </w:tc>
        <w:tc>
          <w:tcPr>
            <w:tcW w:type="dxa" w:w="3135"/>
          </w:tcPr>
          <w:p>
            <w:r>
              <w:rPr>
                <w:sz w:val="20"/>
              </w:rPr>
              <w:t>36-45</w:t>
            </w:r>
          </w:p>
        </w:tc>
        <w:tc>
          <w:tcPr>
            <w:tcW w:type="dxa" w:w="3135"/>
          </w:tcPr>
          <w:p>
            <w:r>
              <w:rPr>
                <w:sz w:val="20"/>
              </w:rPr>
              <w:t>9.19%</w:t>
            </w:r>
          </w:p>
        </w:tc>
      </w:tr>
      <w:tr>
        <w:tc>
          <w:tcPr>
            <w:tcW w:type="dxa" w:w="3135"/>
            <w:shd w:val="clear" w:color="auto" w:fill="eff6ff"/>
          </w:tcPr>
          <w:p>
            <w:r>
              <w:rPr>
                <w:sz w:val="20"/>
              </w:rPr>
              <w:t>Business Travel</w:t>
            </w:r>
          </w:p>
        </w:tc>
        <w:tc>
          <w:tcPr>
            <w:tcW w:type="dxa" w:w="3135"/>
            <w:shd w:val="clear" w:color="auto" w:fill="eff6ff"/>
          </w:tcPr>
          <w:p>
            <w:r>
              <w:rPr>
                <w:sz w:val="20"/>
              </w:rPr>
              <w:t>Travel_Frequently</w:t>
            </w:r>
          </w:p>
        </w:tc>
        <w:tc>
          <w:tcPr>
            <w:tcW w:type="dxa" w:w="3135"/>
            <w:shd w:val="clear" w:color="auto" w:fill="eff6ff"/>
          </w:tcPr>
          <w:p>
            <w:r>
              <w:rPr>
                <w:sz w:val="20"/>
              </w:rPr>
              <w:t>24.91%</w:t>
            </w:r>
          </w:p>
        </w:tc>
      </w:tr>
      <w:tr>
        <w:tc>
          <w:tcPr>
            <w:tcW w:type="dxa" w:w="3135"/>
          </w:tcPr>
          <w:p>
            <w:r>
              <w:rPr>
                <w:sz w:val="20"/>
              </w:rPr>
              <w:t>Business Travel</w:t>
            </w:r>
          </w:p>
        </w:tc>
        <w:tc>
          <w:tcPr>
            <w:tcW w:type="dxa" w:w="3135"/>
          </w:tcPr>
          <w:p>
            <w:r>
              <w:rPr>
                <w:sz w:val="20"/>
              </w:rPr>
              <w:t>Travel_Rarely</w:t>
            </w:r>
          </w:p>
        </w:tc>
        <w:tc>
          <w:tcPr>
            <w:tcW w:type="dxa" w:w="3135"/>
          </w:tcPr>
          <w:p>
            <w:r>
              <w:rPr>
                <w:sz w:val="20"/>
              </w:rPr>
              <w:t>14.96%</w:t>
            </w:r>
          </w:p>
        </w:tc>
      </w:tr>
      <w:tr>
        <w:tc>
          <w:tcPr>
            <w:tcW w:type="dxa" w:w="3135"/>
            <w:shd w:val="clear" w:color="auto" w:fill="eff6ff"/>
          </w:tcPr>
          <w:p>
            <w:r>
              <w:rPr>
                <w:sz w:val="20"/>
              </w:rPr>
              <w:t>Business Travel</w:t>
            </w:r>
          </w:p>
        </w:tc>
        <w:tc>
          <w:tcPr>
            <w:tcW w:type="dxa" w:w="3135"/>
            <w:shd w:val="clear" w:color="auto" w:fill="eff6ff"/>
          </w:tcPr>
          <w:p>
            <w:r>
              <w:rPr>
                <w:sz w:val="20"/>
              </w:rPr>
              <w:t>Non-Travel</w:t>
            </w:r>
          </w:p>
        </w:tc>
        <w:tc>
          <w:tcPr>
            <w:tcW w:type="dxa" w:w="3135"/>
            <w:shd w:val="clear" w:color="auto" w:fill="eff6ff"/>
          </w:tcPr>
          <w:p>
            <w:r>
              <w:rPr>
                <w:sz w:val="20"/>
              </w:rPr>
              <w:t>8.00%</w:t>
            </w:r>
          </w:p>
        </w:tc>
      </w:tr>
      <w:tr>
        <w:tc>
          <w:tcPr>
            <w:tcW w:type="dxa" w:w="3135"/>
          </w:tcPr>
          <w:p>
            <w:r>
              <w:rPr>
                <w:sz w:val="20"/>
              </w:rPr>
              <w:t>Marital Status</w:t>
            </w:r>
          </w:p>
        </w:tc>
        <w:tc>
          <w:tcPr>
            <w:tcW w:type="dxa" w:w="3135"/>
          </w:tcPr>
          <w:p>
            <w:r>
              <w:rPr>
                <w:sz w:val="20"/>
              </w:rPr>
              <w:t>Single</w:t>
            </w:r>
          </w:p>
        </w:tc>
        <w:tc>
          <w:tcPr>
            <w:tcW w:type="dxa" w:w="3135"/>
          </w:tcPr>
          <w:p>
            <w:r>
              <w:rPr>
                <w:sz w:val="20"/>
              </w:rPr>
              <w:t>25.53%</w:t>
            </w:r>
          </w:p>
        </w:tc>
      </w:tr>
      <w:tr>
        <w:tc>
          <w:tcPr>
            <w:tcW w:type="dxa" w:w="3135"/>
            <w:shd w:val="clear" w:color="auto" w:fill="eff6ff"/>
          </w:tcPr>
          <w:p>
            <w:r>
              <w:rPr>
                <w:sz w:val="20"/>
              </w:rPr>
              <w:t>Marital Status</w:t>
            </w:r>
          </w:p>
        </w:tc>
        <w:tc>
          <w:tcPr>
            <w:tcW w:type="dxa" w:w="3135"/>
            <w:shd w:val="clear" w:color="auto" w:fill="eff6ff"/>
          </w:tcPr>
          <w:p>
            <w:r>
              <w:rPr>
                <w:sz w:val="20"/>
              </w:rPr>
              <w:t>Married</w:t>
            </w:r>
          </w:p>
        </w:tc>
        <w:tc>
          <w:tcPr>
            <w:tcW w:type="dxa" w:w="3135"/>
            <w:shd w:val="clear" w:color="auto" w:fill="eff6ff"/>
          </w:tcPr>
          <w:p>
            <w:r>
              <w:rPr>
                <w:sz w:val="20"/>
              </w:rPr>
              <w:t>12.48%</w:t>
            </w:r>
          </w:p>
        </w:tc>
      </w:tr>
      <w:tr>
        <w:tc>
          <w:tcPr>
            <w:tcW w:type="dxa" w:w="3135"/>
          </w:tcPr>
          <w:p>
            <w:r>
              <w:rPr>
                <w:sz w:val="20"/>
              </w:rPr>
              <w:t>Marital Status</w:t>
            </w:r>
          </w:p>
        </w:tc>
        <w:tc>
          <w:tcPr>
            <w:tcW w:type="dxa" w:w="3135"/>
          </w:tcPr>
          <w:p>
            <w:r>
              <w:rPr>
                <w:sz w:val="20"/>
              </w:rPr>
              <w:t>Divorced</w:t>
            </w:r>
          </w:p>
        </w:tc>
        <w:tc>
          <w:tcPr>
            <w:tcW w:type="dxa" w:w="3135"/>
          </w:tcPr>
          <w:p>
            <w:r>
              <w:rPr>
                <w:sz w:val="20"/>
              </w:rPr>
              <w:t>10.09%</w:t>
            </w:r>
          </w:p>
        </w:tc>
      </w:tr>
      <w:tr>
        <w:tc>
          <w:tcPr>
            <w:tcW w:type="dxa" w:w="3135"/>
            <w:shd w:val="clear" w:color="auto" w:fill="eff6ff"/>
          </w:tcPr>
          <w:p>
            <w:r>
              <w:rPr>
                <w:sz w:val="20"/>
              </w:rPr>
              <w:t>Job Level</w:t>
            </w:r>
          </w:p>
        </w:tc>
        <w:tc>
          <w:tcPr>
            <w:tcW w:type="dxa" w:w="3135"/>
            <w:shd w:val="clear" w:color="auto" w:fill="eff6ff"/>
          </w:tcPr>
          <w:p>
            <w:r>
              <w:rPr>
                <w:sz w:val="20"/>
              </w:rPr>
              <w:t>Level 1 (Entry)</w:t>
            </w:r>
          </w:p>
        </w:tc>
        <w:tc>
          <w:tcPr>
            <w:tcW w:type="dxa" w:w="3135"/>
            <w:shd w:val="clear" w:color="auto" w:fill="eff6ff"/>
          </w:tcPr>
          <w:p>
            <w:r>
              <w:rPr>
                <w:sz w:val="20"/>
              </w:rPr>
              <w:t>26.34%</w:t>
            </w:r>
          </w:p>
        </w:tc>
      </w:tr>
      <w:tr>
        <w:tc>
          <w:tcPr>
            <w:tcW w:type="dxa" w:w="3135"/>
          </w:tcPr>
          <w:p>
            <w:r>
              <w:rPr>
                <w:sz w:val="20"/>
              </w:rPr>
              <w:t>Job Level</w:t>
            </w:r>
          </w:p>
        </w:tc>
        <w:tc>
          <w:tcPr>
            <w:tcW w:type="dxa" w:w="3135"/>
          </w:tcPr>
          <w:p>
            <w:r>
              <w:rPr>
                <w:sz w:val="20"/>
              </w:rPr>
              <w:t>Level 5 (Senior)</w:t>
            </w:r>
          </w:p>
        </w:tc>
        <w:tc>
          <w:tcPr>
            <w:tcW w:type="dxa" w:w="3135"/>
          </w:tcPr>
          <w:p>
            <w:r>
              <w:rPr>
                <w:sz w:val="20"/>
              </w:rPr>
              <w:t>7.25%</w:t>
            </w:r>
          </w:p>
        </w:tc>
      </w:tr>
      <w:tr>
        <w:tc>
          <w:tcPr>
            <w:tcW w:type="dxa" w:w="3135"/>
            <w:shd w:val="clear" w:color="auto" w:fill="eff6ff"/>
          </w:tcPr>
          <w:p>
            <w:r>
              <w:rPr>
                <w:sz w:val="20"/>
              </w:rPr>
              <w:t>Work-Life Balance</w:t>
            </w:r>
          </w:p>
        </w:tc>
        <w:tc>
          <w:tcPr>
            <w:tcW w:type="dxa" w:w="3135"/>
            <w:shd w:val="clear" w:color="auto" w:fill="eff6ff"/>
          </w:tcPr>
          <w:p>
            <w:r>
              <w:rPr>
                <w:sz w:val="20"/>
              </w:rPr>
              <w:t>Level 1 (Bad)</w:t>
            </w:r>
          </w:p>
        </w:tc>
        <w:tc>
          <w:tcPr>
            <w:tcW w:type="dxa" w:w="3135"/>
            <w:shd w:val="clear" w:color="auto" w:fill="eff6ff"/>
          </w:tcPr>
          <w:p>
            <w:r>
              <w:rPr>
                <w:sz w:val="20"/>
              </w:rPr>
              <w:t>31.25%</w:t>
            </w:r>
          </w:p>
        </w:tc>
      </w:tr>
      <w:tr>
        <w:tc>
          <w:tcPr>
            <w:tcW w:type="dxa" w:w="3135"/>
          </w:tcPr>
          <w:p>
            <w:r>
              <w:rPr>
                <w:sz w:val="20"/>
              </w:rPr>
              <w:t>Work-Life Balance</w:t>
            </w:r>
          </w:p>
        </w:tc>
        <w:tc>
          <w:tcPr>
            <w:tcW w:type="dxa" w:w="3135"/>
          </w:tcPr>
          <w:p>
            <w:r>
              <w:rPr>
                <w:sz w:val="20"/>
              </w:rPr>
              <w:t>Level 3 (Good)</w:t>
            </w:r>
          </w:p>
        </w:tc>
        <w:tc>
          <w:tcPr>
            <w:tcW w:type="dxa" w:w="3135"/>
          </w:tcPr>
          <w:p>
            <w:r>
              <w:rPr>
                <w:sz w:val="20"/>
              </w:rPr>
              <w:t>14.22%</w:t>
            </w:r>
          </w:p>
        </w:tc>
      </w:tr>
      <w:tr>
        <w:tc>
          <w:tcPr>
            <w:tcW w:type="dxa" w:w="3135"/>
            <w:shd w:val="clear" w:color="auto" w:fill="eff6ff"/>
          </w:tcPr>
          <w:p>
            <w:r>
              <w:rPr>
                <w:sz w:val="20"/>
              </w:rPr>
              <w:t>Job Satisfaction</w:t>
            </w:r>
          </w:p>
        </w:tc>
        <w:tc>
          <w:tcPr>
            <w:tcW w:type="dxa" w:w="3135"/>
            <w:shd w:val="clear" w:color="auto" w:fill="eff6ff"/>
          </w:tcPr>
          <w:p>
            <w:r>
              <w:rPr>
                <w:sz w:val="20"/>
              </w:rPr>
              <w:t>Level 1 (Low)</w:t>
            </w:r>
          </w:p>
        </w:tc>
        <w:tc>
          <w:tcPr>
            <w:tcW w:type="dxa" w:w="3135"/>
            <w:shd w:val="clear" w:color="auto" w:fill="eff6ff"/>
          </w:tcPr>
          <w:p>
            <w:r>
              <w:rPr>
                <w:sz w:val="20"/>
              </w:rPr>
              <w:t>22.84%</w:t>
            </w:r>
          </w:p>
        </w:tc>
      </w:tr>
      <w:tr>
        <w:tc>
          <w:tcPr>
            <w:tcW w:type="dxa" w:w="3135"/>
          </w:tcPr>
          <w:p>
            <w:r>
              <w:rPr>
                <w:sz w:val="20"/>
              </w:rPr>
              <w:t>Job Satisfaction</w:t>
            </w:r>
          </w:p>
        </w:tc>
        <w:tc>
          <w:tcPr>
            <w:tcW w:type="dxa" w:w="3135"/>
          </w:tcPr>
          <w:p>
            <w:r>
              <w:rPr>
                <w:sz w:val="20"/>
              </w:rPr>
              <w:t>Level 4 (High)</w:t>
            </w:r>
          </w:p>
        </w:tc>
        <w:tc>
          <w:tcPr>
            <w:tcW w:type="dxa" w:w="3135"/>
          </w:tcPr>
          <w:p>
            <w:r>
              <w:rPr>
                <w:sz w:val="20"/>
              </w:rPr>
              <w:t>11.33%</w:t>
            </w:r>
          </w:p>
        </w:tc>
      </w:tr>
    </w:tbl>
    <w:p/>
    <w:p>
      <w:pPr>
        <w:pStyle w:val="Heading2"/>
      </w:pPr>
      <w:r>
        <w:rPr>
          <w:color w:val="1E40AF"/>
        </w:rPr>
        <w:t>8.4  Employee Profile Comparison: Stayed vs Left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20"/>
              </w:rPr>
              <w:t>Attribute</w:t>
            </w:r>
          </w:p>
        </w:tc>
        <w:tc>
          <w:tcPr>
            <w:tcW w:type="dxa" w:w="3135"/>
            <w:shd w:val="clear" w:color="auto" w:fill="1e40af"/>
          </w:tcPr>
          <w:p>
            <w:r>
              <w:rPr>
                <w:b/>
                <w:color w:val="FFFFFF"/>
                <w:sz w:val="20"/>
              </w:rPr>
              <w:t>Stayed</w:t>
            </w:r>
          </w:p>
        </w:tc>
        <w:tc>
          <w:tcPr>
            <w:tcW w:type="dxa" w:w="3135"/>
            <w:shd w:val="clear" w:color="auto" w:fill="1e40af"/>
          </w:tcPr>
          <w:p>
            <w:r>
              <w:rPr>
                <w:b/>
                <w:color w:val="FFFFFF"/>
                <w:sz w:val="20"/>
              </w:rPr>
              <w:t>Left</w:t>
            </w:r>
          </w:p>
        </w:tc>
      </w:tr>
      <w:tr>
        <w:tc>
          <w:tcPr>
            <w:tcW w:type="dxa" w:w="3135"/>
            <w:shd w:val="clear" w:color="auto" w:fill="eff6ff"/>
          </w:tcPr>
          <w:p>
            <w:r>
              <w:rPr>
                <w:sz w:val="20"/>
              </w:rPr>
              <w:t>Average Age</w:t>
            </w:r>
          </w:p>
        </w:tc>
        <w:tc>
          <w:tcPr>
            <w:tcW w:type="dxa" w:w="3135"/>
            <w:shd w:val="clear" w:color="auto" w:fill="eff6ff"/>
          </w:tcPr>
          <w:p>
            <w:r>
              <w:rPr>
                <w:sz w:val="20"/>
              </w:rPr>
              <w:t>37.56 years</w:t>
            </w:r>
          </w:p>
        </w:tc>
        <w:tc>
          <w:tcPr>
            <w:tcW w:type="dxa" w:w="3135"/>
            <w:shd w:val="clear" w:color="auto" w:fill="eff6ff"/>
          </w:tcPr>
          <w:p>
            <w:r>
              <w:rPr>
                <w:sz w:val="20"/>
              </w:rPr>
              <w:t>33.61 years</w:t>
            </w:r>
          </w:p>
        </w:tc>
      </w:tr>
      <w:tr>
        <w:tc>
          <w:tcPr>
            <w:tcW w:type="dxa" w:w="3135"/>
          </w:tcPr>
          <w:p>
            <w:r>
              <w:rPr>
                <w:sz w:val="20"/>
              </w:rPr>
              <w:t>Average Monthly Income</w:t>
            </w:r>
          </w:p>
        </w:tc>
        <w:tc>
          <w:tcPr>
            <w:tcW w:type="dxa" w:w="3135"/>
          </w:tcPr>
          <w:p>
            <w:r>
              <w:rPr>
                <w:sz w:val="20"/>
              </w:rPr>
              <w:t>$6,832.74</w:t>
            </w:r>
          </w:p>
        </w:tc>
        <w:tc>
          <w:tcPr>
            <w:tcW w:type="dxa" w:w="3135"/>
          </w:tcPr>
          <w:p>
            <w:r>
              <w:rPr>
                <w:sz w:val="20"/>
              </w:rPr>
              <w:t>$4,787.09</w:t>
            </w:r>
          </w:p>
        </w:tc>
      </w:tr>
      <w:tr>
        <w:tc>
          <w:tcPr>
            <w:tcW w:type="dxa" w:w="3135"/>
            <w:shd w:val="clear" w:color="auto" w:fill="eff6ff"/>
          </w:tcPr>
          <w:p>
            <w:r>
              <w:rPr>
                <w:sz w:val="20"/>
              </w:rPr>
              <w:t>Average Job Satisfaction</w:t>
            </w:r>
          </w:p>
        </w:tc>
        <w:tc>
          <w:tcPr>
            <w:tcW w:type="dxa" w:w="3135"/>
            <w:shd w:val="clear" w:color="auto" w:fill="eff6ff"/>
          </w:tcPr>
          <w:p>
            <w:r>
              <w:rPr>
                <w:sz w:val="20"/>
              </w:rPr>
              <w:t>2.77 / 4</w:t>
            </w:r>
          </w:p>
        </w:tc>
        <w:tc>
          <w:tcPr>
            <w:tcW w:type="dxa" w:w="3135"/>
            <w:shd w:val="clear" w:color="auto" w:fill="eff6ff"/>
          </w:tcPr>
          <w:p>
            <w:r>
              <w:rPr>
                <w:sz w:val="20"/>
              </w:rPr>
              <w:t>2.47 / 4</w:t>
            </w:r>
          </w:p>
        </w:tc>
      </w:tr>
      <w:tr>
        <w:tc>
          <w:tcPr>
            <w:tcW w:type="dxa" w:w="3135"/>
          </w:tcPr>
          <w:p>
            <w:r>
              <w:rPr>
                <w:sz w:val="20"/>
              </w:rPr>
              <w:t>Average Work-Life Balance</w:t>
            </w:r>
          </w:p>
        </w:tc>
        <w:tc>
          <w:tcPr>
            <w:tcW w:type="dxa" w:w="3135"/>
          </w:tcPr>
          <w:p>
            <w:r>
              <w:rPr>
                <w:sz w:val="20"/>
              </w:rPr>
              <w:t>2.78 / 4</w:t>
            </w:r>
          </w:p>
        </w:tc>
        <w:tc>
          <w:tcPr>
            <w:tcW w:type="dxa" w:w="3135"/>
          </w:tcPr>
          <w:p>
            <w:r>
              <w:rPr>
                <w:sz w:val="20"/>
              </w:rPr>
              <w:t>2.66 / 4</w:t>
            </w:r>
          </w:p>
        </w:tc>
      </w:tr>
      <w:tr>
        <w:tc>
          <w:tcPr>
            <w:tcW w:type="dxa" w:w="3135"/>
            <w:shd w:val="clear" w:color="auto" w:fill="eff6ff"/>
          </w:tcPr>
          <w:p>
            <w:r>
              <w:rPr>
                <w:sz w:val="20"/>
              </w:rPr>
              <w:t>Average Years at Company</w:t>
            </w:r>
          </w:p>
        </w:tc>
        <w:tc>
          <w:tcPr>
            <w:tcW w:type="dxa" w:w="3135"/>
            <w:shd w:val="clear" w:color="auto" w:fill="eff6ff"/>
          </w:tcPr>
          <w:p>
            <w:r>
              <w:rPr>
                <w:sz w:val="20"/>
              </w:rPr>
              <w:t>7.37 years</w:t>
            </w:r>
          </w:p>
        </w:tc>
        <w:tc>
          <w:tcPr>
            <w:tcW w:type="dxa" w:w="3135"/>
            <w:shd w:val="clear" w:color="auto" w:fill="eff6ff"/>
          </w:tcPr>
          <w:p>
            <w:r>
              <w:rPr>
                <w:sz w:val="20"/>
              </w:rPr>
              <w:t>5.13 years</w:t>
            </w:r>
          </w:p>
        </w:tc>
      </w:tr>
      <w:tr>
        <w:tc>
          <w:tcPr>
            <w:tcW w:type="dxa" w:w="3135"/>
          </w:tcPr>
          <w:p>
            <w:r>
              <w:rPr>
                <w:sz w:val="20"/>
              </w:rPr>
              <w:t>Average Total Working Years</w:t>
            </w:r>
          </w:p>
        </w:tc>
        <w:tc>
          <w:tcPr>
            <w:tcW w:type="dxa" w:w="3135"/>
          </w:tcPr>
          <w:p>
            <w:r>
              <w:rPr>
                <w:sz w:val="20"/>
              </w:rPr>
              <w:t>11.86 years</w:t>
            </w:r>
          </w:p>
        </w:tc>
        <w:tc>
          <w:tcPr>
            <w:tcW w:type="dxa" w:w="3135"/>
          </w:tcPr>
          <w:p>
            <w:r>
              <w:rPr>
                <w:sz w:val="20"/>
              </w:rPr>
              <w:t>8.24 years</w:t>
            </w:r>
          </w:p>
        </w:tc>
      </w:tr>
      <w:tr>
        <w:tc>
          <w:tcPr>
            <w:tcW w:type="dxa" w:w="3135"/>
            <w:shd w:val="clear" w:color="auto" w:fill="eff6ff"/>
          </w:tcPr>
          <w:p>
            <w:r>
              <w:rPr>
                <w:sz w:val="20"/>
              </w:rPr>
              <w:t>Average Job Level</w:t>
            </w:r>
          </w:p>
        </w:tc>
        <w:tc>
          <w:tcPr>
            <w:tcW w:type="dxa" w:w="3135"/>
            <w:shd w:val="clear" w:color="auto" w:fill="eff6ff"/>
          </w:tcPr>
          <w:p>
            <w:r>
              <w:rPr>
                <w:sz w:val="20"/>
              </w:rPr>
              <w:t>2.15</w:t>
            </w:r>
          </w:p>
        </w:tc>
        <w:tc>
          <w:tcPr>
            <w:tcW w:type="dxa" w:w="3135"/>
            <w:shd w:val="clear" w:color="auto" w:fill="eff6ff"/>
          </w:tcPr>
          <w:p>
            <w:r>
              <w:rPr>
                <w:sz w:val="20"/>
              </w:rPr>
              <w:t>1.64</w:t>
            </w:r>
          </w:p>
        </w:tc>
      </w:tr>
    </w:tbl>
    <w:p>
      <w:r>
        <w:br w:type="page"/>
      </w:r>
    </w:p>
    <w:p>
      <w:pPr>
        <w:pStyle w:val="Heading1"/>
      </w:pPr>
      <w:r>
        <w:rPr>
          <w:color w:val="1E293B"/>
        </w:rPr>
        <w:t>9.  Key Findings</w:t>
      </w:r>
    </w:p>
    <w:p>
      <w:r>
        <w:t>All findings below are derived from actual dataset calculations.</w:t>
      </w:r>
    </w:p>
    <w:p>
      <w:pPr>
        <w:spacing w:before="120" w:after="40"/>
      </w:pPr>
      <w:r>
        <w:rPr>
          <w:b/>
          <w:color w:val="2563EB"/>
          <w:sz w:val="22"/>
        </w:rPr>
        <w:t xml:space="preserve">  01  Overtime is the Strongest Attrition Predictor</w:t>
      </w:r>
    </w:p>
    <w:p>
      <w:pPr>
        <w:spacing w:after="160"/>
        <w:ind w:left="283"/>
      </w:pPr>
      <w:r>
        <w:rPr>
          <w:sz w:val="20"/>
        </w:rPr>
        <w:t>Employees working overtime leave at 30.53% vs 10.44% for non-overtime workers — nearly 3× higher. With 28.3% of the workforce (416 employees) doing overtime, this segment represents a critical retention risk.</w:t>
      </w:r>
    </w:p>
    <w:p>
      <w:pPr>
        <w:spacing w:before="120" w:after="40"/>
      </w:pPr>
      <w:r>
        <w:rPr>
          <w:b/>
          <w:color w:val="2563EB"/>
          <w:sz w:val="22"/>
        </w:rPr>
        <w:t xml:space="preserve">  02  Sales Representatives Are the Highest-Risk Role</w:t>
      </w:r>
    </w:p>
    <w:p>
      <w:pPr>
        <w:spacing w:after="160"/>
        <w:ind w:left="283"/>
      </w:pPr>
      <w:r>
        <w:rPr>
          <w:sz w:val="20"/>
        </w:rPr>
        <w:t>Sales Representatives have a 39.76% attrition rate — the highest of any role — while also earning the lowest average salary at $2,626/month. The combination of high performance pressure and low base pay is likely driving rapid turnover.</w:t>
      </w:r>
    </w:p>
    <w:p>
      <w:pPr>
        <w:spacing w:before="120" w:after="40"/>
      </w:pPr>
      <w:r>
        <w:rPr>
          <w:b/>
          <w:color w:val="2563EB"/>
          <w:sz w:val="22"/>
        </w:rPr>
        <w:t xml:space="preserve">  03  Early-Career Employees Leave Most Frequently</w:t>
      </w:r>
    </w:p>
    <w:p>
      <w:pPr>
        <w:spacing w:after="160"/>
        <w:ind w:left="283"/>
      </w:pPr>
      <w:r>
        <w:rPr>
          <w:sz w:val="20"/>
        </w:rPr>
        <w:t>The 18–25 age group shows 34.78% attrition; Job Level 1 employees show 26.34%. The 0–2 year tenure band is the highest-risk period. Onboarding quality, early engagement, and competitive entry-level pay are critical retention levers.</w:t>
      </w:r>
    </w:p>
    <w:p>
      <w:pPr>
        <w:spacing w:before="120" w:after="40"/>
      </w:pPr>
      <w:r>
        <w:rPr>
          <w:b/>
          <w:color w:val="2563EB"/>
          <w:sz w:val="22"/>
        </w:rPr>
        <w:t xml:space="preserve">  04  Frequent Business Travel Triples Attrition Risk</w:t>
      </w:r>
    </w:p>
    <w:p>
      <w:pPr>
        <w:spacing w:after="160"/>
        <w:ind w:left="283"/>
      </w:pPr>
      <w:r>
        <w:rPr>
          <w:sz w:val="20"/>
        </w:rPr>
        <w:t>Frequent travelers leave at 24.91% vs 8.00% for non-travelers — a 3× difference. Travel burden clearly degrades quality of life and contributes to departure.</w:t>
      </w:r>
    </w:p>
    <w:p>
      <w:pPr>
        <w:spacing w:before="120" w:after="40"/>
      </w:pPr>
      <w:r>
        <w:rPr>
          <w:b/>
          <w:color w:val="2563EB"/>
          <w:sz w:val="22"/>
        </w:rPr>
        <w:t xml:space="preserve">  05  Work-Life Balance Level 1 Has Alarm-Level Attrition</w:t>
      </w:r>
    </w:p>
    <w:p>
      <w:pPr>
        <w:spacing w:after="160"/>
        <w:ind w:left="283"/>
      </w:pPr>
      <w:r>
        <w:rPr>
          <w:sz w:val="20"/>
        </w:rPr>
        <w:t>Employees with the worst work-life balance (Level 1) leave at 31.25%, more than double the rate at Level 3 (14.22%). Poor WLB is one of the strongest attrition drivers.</w:t>
      </w:r>
    </w:p>
    <w:p>
      <w:pPr>
        <w:spacing w:before="120" w:after="40"/>
      </w:pPr>
      <w:r>
        <w:rPr>
          <w:b/>
          <w:color w:val="2563EB"/>
          <w:sz w:val="22"/>
        </w:rPr>
        <w:t xml:space="preserve">  06  There Is a $2,046/Month Compensation Gap Between Leavers and Stayers</w:t>
      </w:r>
    </w:p>
    <w:p>
      <w:pPr>
        <w:spacing w:after="160"/>
        <w:ind w:left="283"/>
      </w:pPr>
      <w:r>
        <w:rPr>
          <w:sz w:val="20"/>
        </w:rPr>
        <w:t>Employees who left earned $4,787/month on average vs $6,833/month for those who stayed — a 30% difference. This is the most consistent gap across the entire dataset.</w:t>
      </w:r>
    </w:p>
    <w:p>
      <w:pPr>
        <w:spacing w:before="120" w:after="40"/>
      </w:pPr>
      <w:r>
        <w:rPr>
          <w:b/>
          <w:color w:val="2563EB"/>
          <w:sz w:val="22"/>
        </w:rPr>
        <w:t xml:space="preserve">  07  Single Employees Are More Likely to Leave</w:t>
      </w:r>
    </w:p>
    <w:p>
      <w:pPr>
        <w:spacing w:after="160"/>
        <w:ind w:left="283"/>
      </w:pPr>
      <w:r>
        <w:rPr>
          <w:sz w:val="20"/>
        </w:rPr>
        <w:t>Single employees have a 25.53% attrition rate vs 12.48% (married) and 10.09% (divorced). Fewer financial obligations and greater mobility may contribute.</w:t>
      </w:r>
    </w:p>
    <w:p>
      <w:pPr>
        <w:spacing w:before="120" w:after="40"/>
      </w:pPr>
      <w:r>
        <w:rPr>
          <w:b/>
          <w:color w:val="2563EB"/>
          <w:sz w:val="22"/>
        </w:rPr>
        <w:t xml:space="preserve">  08  Tenure Is Strongly Protective</w:t>
      </w:r>
    </w:p>
    <w:p>
      <w:pPr>
        <w:spacing w:after="160"/>
        <w:ind w:left="283"/>
      </w:pPr>
      <w:r>
        <w:rPr>
          <w:sz w:val="20"/>
        </w:rPr>
        <w:t>Attrition decreases consistently as years at the company increases. The first 2 years are the highest-risk period, emphasising the importance of early engagement programs.</w:t>
      </w:r>
    </w:p>
    <w:p>
      <w:pPr>
        <w:spacing w:before="120" w:after="40"/>
      </w:pPr>
      <w:r>
        <w:rPr>
          <w:b/>
          <w:color w:val="2563EB"/>
          <w:sz w:val="22"/>
        </w:rPr>
        <w:t xml:space="preserve">  09  Job Satisfaction Inversely Correlates with Attrition</w:t>
      </w:r>
    </w:p>
    <w:p>
      <w:pPr>
        <w:spacing w:after="160"/>
        <w:ind w:left="283"/>
      </w:pPr>
      <w:r>
        <w:rPr>
          <w:sz w:val="20"/>
        </w:rPr>
        <w:t>Level 1 satisfaction: 22.84% attrition. Level 4 satisfaction: 11.33% attrition. Improving satisfaction scores has a measurable impact on retention.</w:t>
      </w:r>
    </w:p>
    <w:p>
      <w:pPr>
        <w:spacing w:before="120" w:after="40"/>
      </w:pPr>
      <w:r>
        <w:rPr>
          <w:b/>
          <w:color w:val="2563EB"/>
          <w:sz w:val="22"/>
        </w:rPr>
        <w:t xml:space="preserve">  10  Senior Roles Are Well Retained</w:t>
      </w:r>
    </w:p>
    <w:p>
      <w:pPr>
        <w:spacing w:after="160"/>
        <w:ind w:left="283"/>
      </w:pPr>
      <w:r>
        <w:rPr>
          <w:sz w:val="20"/>
        </w:rPr>
        <w:t>Manager (4.90%), Research Director (2.50%), and Manufacturing Director (6.90%) show very low attrition. Career progression to senior levels is a powerful retention mechanism.</w:t>
      </w:r>
    </w:p>
    <w:p>
      <w:r>
        <w:br w:type="page"/>
      </w:r>
    </w:p>
    <w:p>
      <w:pPr>
        <w:pStyle w:val="Heading1"/>
      </w:pPr>
      <w:r>
        <w:rPr>
          <w:color w:val="1E293B"/>
        </w:rPr>
        <w:t>10.  Business Recommendations</w:t>
      </w:r>
    </w:p>
    <w:p>
      <w:r>
        <w:t>The following recommendations are directly grounded in the data findings above. Each recommendation cites the specific metric that supports it.</w:t>
      </w:r>
    </w:p>
    <w:p>
      <w:pPr>
        <w:spacing w:before="160"/>
      </w:pPr>
      <w:r>
        <w:rPr>
          <w:b/>
          <w:color w:val="2563EB"/>
          <w:sz w:val="22"/>
        </w:rPr>
        <w:t xml:space="preserve">[R1]  </w:t>
      </w:r>
      <w:r>
        <w:rPr>
          <w:b/>
          <w:sz w:val="22"/>
        </w:rPr>
        <w:t>Implement Overtime Policies and Monitoring</w:t>
      </w:r>
    </w:p>
    <w:p>
      <w:pPr>
        <w:ind w:left="283"/>
      </w:pPr>
      <w:r>
        <w:rPr>
          <w:i/>
          <w:color w:val="64748B"/>
          <w:sz w:val="18"/>
        </w:rPr>
        <w:t>Based on: Overtime attrition 30.53% vs 10.44%.</w:t>
      </w:r>
    </w:p>
    <w:p>
      <w:pPr>
        <w:spacing w:after="120"/>
        <w:ind w:left="283"/>
      </w:pPr>
      <w:r>
        <w:rPr>
          <w:sz w:val="20"/>
        </w:rPr>
        <w:t>Monitor overtime hours per employee and introduce mandatory limits or compensation adjustments. Flag employees consistently working long hours for engagement check-ins. Redistribute workloads or add headcount in roles where overtime is systemic.</w:t>
      </w:r>
    </w:p>
    <w:p>
      <w:pPr>
        <w:spacing w:before="160"/>
      </w:pPr>
      <w:r>
        <w:rPr>
          <w:b/>
          <w:color w:val="2563EB"/>
          <w:sz w:val="22"/>
        </w:rPr>
        <w:t xml:space="preserve">[R2]  </w:t>
      </w:r>
      <w:r>
        <w:rPr>
          <w:b/>
          <w:sz w:val="22"/>
        </w:rPr>
        <w:t>Prioritize Retention in Sales</w:t>
      </w:r>
    </w:p>
    <w:p>
      <w:pPr>
        <w:ind w:left="283"/>
      </w:pPr>
      <w:r>
        <w:rPr>
          <w:i/>
          <w:color w:val="64748B"/>
          <w:sz w:val="18"/>
        </w:rPr>
        <w:t>Based on: Sales Representative attrition 39.76%; avg income $2,626/month.</w:t>
      </w:r>
    </w:p>
    <w:p>
      <w:pPr>
        <w:spacing w:after="120"/>
        <w:ind w:left="283"/>
      </w:pPr>
      <w:r>
        <w:rPr>
          <w:sz w:val="20"/>
        </w:rPr>
        <w:t>Review the compensation structure for Sales Representatives. Introduce performance bonuses, clear career ladders, mentorship programs, and manageable travel requirements.</w:t>
      </w:r>
    </w:p>
    <w:p>
      <w:pPr>
        <w:spacing w:before="160"/>
      </w:pPr>
      <w:r>
        <w:rPr>
          <w:b/>
          <w:color w:val="2563EB"/>
          <w:sz w:val="22"/>
        </w:rPr>
        <w:t xml:space="preserve">[R3]  </w:t>
      </w:r>
      <w:r>
        <w:rPr>
          <w:b/>
          <w:sz w:val="22"/>
        </w:rPr>
        <w:t>Strengthen Early-Career Onboarding</w:t>
      </w:r>
    </w:p>
    <w:p>
      <w:pPr>
        <w:ind w:left="283"/>
      </w:pPr>
      <w:r>
        <w:rPr>
          <w:i/>
          <w:color w:val="64748B"/>
          <w:sz w:val="18"/>
        </w:rPr>
        <w:t>Based on: 18-25 age group attrition 34.78%; Job Level 1 attrition 26.34%.</w:t>
      </w:r>
    </w:p>
    <w:p>
      <w:pPr>
        <w:spacing w:after="120"/>
        <w:ind w:left="283"/>
      </w:pPr>
      <w:r>
        <w:rPr>
          <w:sz w:val="20"/>
        </w:rPr>
        <w:t>Introduce structured 90-day and 12-month onboarding with assigned mentors. Provide clear 12–24 month career roadmaps and competitive entry-level compensation.</w:t>
      </w:r>
    </w:p>
    <w:p>
      <w:pPr>
        <w:spacing w:before="160"/>
      </w:pPr>
      <w:r>
        <w:rPr>
          <w:b/>
          <w:color w:val="2563EB"/>
          <w:sz w:val="22"/>
        </w:rPr>
        <w:t xml:space="preserve">[R4]  </w:t>
      </w:r>
      <w:r>
        <w:rPr>
          <w:b/>
          <w:sz w:val="22"/>
        </w:rPr>
        <w:t>Redesign Business Travel Policy</w:t>
      </w:r>
    </w:p>
    <w:p>
      <w:pPr>
        <w:ind w:left="283"/>
      </w:pPr>
      <w:r>
        <w:rPr>
          <w:i/>
          <w:color w:val="64748B"/>
          <w:sz w:val="18"/>
        </w:rPr>
        <w:t>Based on: Frequent travelers 24.91% vs non-travelers 8.00%.</w:t>
      </w:r>
    </w:p>
    <w:p>
      <w:pPr>
        <w:spacing w:after="120"/>
        <w:ind w:left="283"/>
      </w:pPr>
      <w:r>
        <w:rPr>
          <w:sz w:val="20"/>
        </w:rPr>
        <w:t>Evaluate whether all frequent travel is necessary. Explore virtual alternatives. Where travel is mandatory, improve allowances, provide recovery time, and offer flexible scheduling to reduce the quality-of-life burden.</w:t>
      </w:r>
    </w:p>
    <w:p>
      <w:pPr>
        <w:spacing w:before="160"/>
      </w:pPr>
      <w:r>
        <w:rPr>
          <w:b/>
          <w:color w:val="2563EB"/>
          <w:sz w:val="22"/>
        </w:rPr>
        <w:t xml:space="preserve">[R5]  </w:t>
      </w:r>
      <w:r>
        <w:rPr>
          <w:b/>
          <w:sz w:val="22"/>
        </w:rPr>
        <w:t>Formalize Work-Life Balance Initiatives</w:t>
      </w:r>
    </w:p>
    <w:p>
      <w:pPr>
        <w:ind w:left="283"/>
      </w:pPr>
      <w:r>
        <w:rPr>
          <w:i/>
          <w:color w:val="64748B"/>
          <w:sz w:val="18"/>
        </w:rPr>
        <w:t>Based on: Work-Life Balance Level 1 attrition 31.25%.</w:t>
      </w:r>
    </w:p>
    <w:p>
      <w:pPr>
        <w:spacing w:after="120"/>
        <w:ind w:left="283"/>
      </w:pPr>
      <w:r>
        <w:rPr>
          <w:sz w:val="20"/>
        </w:rPr>
        <w:t>Launch formal WLB programs: flexible hours, remote work where feasible, wellness initiatives. Run regular pulse surveys to identify early-stage burnout.</w:t>
      </w:r>
    </w:p>
    <w:p>
      <w:pPr>
        <w:spacing w:before="160"/>
      </w:pPr>
      <w:r>
        <w:rPr>
          <w:b/>
          <w:color w:val="2563EB"/>
          <w:sz w:val="22"/>
        </w:rPr>
        <w:t xml:space="preserve">[R6]  </w:t>
      </w:r>
      <w:r>
        <w:rPr>
          <w:b/>
          <w:sz w:val="22"/>
        </w:rPr>
        <w:t>Conduct Compensation Benchmarking</w:t>
      </w:r>
    </w:p>
    <w:p>
      <w:pPr>
        <w:ind w:left="283"/>
      </w:pPr>
      <w:r>
        <w:rPr>
          <w:i/>
          <w:color w:val="64748B"/>
          <w:sz w:val="18"/>
        </w:rPr>
        <w:t>Based on: Leavers earned $4,787/month vs stayers $6,833/month (30% gap).</w:t>
      </w:r>
    </w:p>
    <w:p>
      <w:pPr>
        <w:spacing w:after="120"/>
        <w:ind w:left="283"/>
      </w:pPr>
      <w:r>
        <w:rPr>
          <w:sz w:val="20"/>
        </w:rPr>
        <w:t>Benchmark salaries for entry and mid-level roles against the market. Offer transparent salary progression milestones and stock option plans.</w:t>
      </w:r>
    </w:p>
    <w:p>
      <w:pPr>
        <w:spacing w:before="160"/>
      </w:pPr>
      <w:r>
        <w:rPr>
          <w:b/>
          <w:color w:val="2563EB"/>
          <w:sz w:val="22"/>
        </w:rPr>
        <w:t xml:space="preserve">[R7]  </w:t>
      </w:r>
      <w:r>
        <w:rPr>
          <w:b/>
          <w:sz w:val="22"/>
        </w:rPr>
        <w:t>Improve Job Satisfaction Programs</w:t>
      </w:r>
    </w:p>
    <w:p>
      <w:pPr>
        <w:ind w:left="283"/>
      </w:pPr>
      <w:r>
        <w:rPr>
          <w:i/>
          <w:color w:val="64748B"/>
          <w:sz w:val="18"/>
        </w:rPr>
        <w:t>Based on: Job satisfaction Level 1 attrition 22.84% vs Level 4 attrition 11.33%.</w:t>
      </w:r>
    </w:p>
    <w:p>
      <w:pPr>
        <w:spacing w:after="120"/>
        <w:ind w:left="283"/>
      </w:pPr>
      <w:r>
        <w:rPr>
          <w:sz w:val="20"/>
        </w:rPr>
        <w:t>Run quarterly satisfaction surveys and take visible, measurable action on feedback. Recognize achievements and connect employee work to organizational goals.</w:t>
      </w:r>
    </w:p>
    <w:p>
      <w:pPr>
        <w:spacing w:before="160"/>
      </w:pPr>
      <w:r>
        <w:rPr>
          <w:b/>
          <w:color w:val="2563EB"/>
          <w:sz w:val="22"/>
        </w:rPr>
        <w:t xml:space="preserve">[R8]  </w:t>
      </w:r>
      <w:r>
        <w:rPr>
          <w:b/>
          <w:sz w:val="22"/>
        </w:rPr>
        <w:t>Create Clear Career Progression Pathways</w:t>
      </w:r>
    </w:p>
    <w:p>
      <w:pPr>
        <w:ind w:left="283"/>
      </w:pPr>
      <w:r>
        <w:rPr>
          <w:i/>
          <w:color w:val="64748B"/>
          <w:sz w:val="18"/>
        </w:rPr>
        <w:t>Based on: Job Level 1 attrition 26.34%; Job Levels 4–5 attrition &lt; 7.25%.</w:t>
      </w:r>
    </w:p>
    <w:p>
      <w:pPr>
        <w:spacing w:after="120"/>
        <w:ind w:left="283"/>
      </w:pPr>
      <w:r>
        <w:rPr>
          <w:sz w:val="20"/>
        </w:rPr>
        <w:t>Implement Individual Development Plans (IDPs), promote internally first, and communicate promotion criteria transparently to all employees.</w:t>
      </w:r>
    </w:p>
    <w:p>
      <w:r>
        <w:br w:type="page"/>
      </w:r>
    </w:p>
    <w:p>
      <w:pPr>
        <w:pStyle w:val="Heading1"/>
      </w:pPr>
      <w:r>
        <w:rPr>
          <w:color w:val="1E293B"/>
        </w:rPr>
        <w:t>11.  Conclusion</w:t>
      </w:r>
    </w:p>
    <w:p>
      <w:r>
        <w:t>This project conducted a comprehensive data analytics study on employee attrition using the IBM HR Analytics dataset. The full analytics lifecycle was applied to 1,470 employee records, following a structured workflow from data loading through cleaning, feature engineering, EDA, visualization, correlation analysis, and business recommendations.</w:t>
      </w:r>
    </w:p>
    <w:p>
      <w:r>
        <w:t>Key conclusions:</w:t>
      </w:r>
    </w:p>
    <w:p>
      <w:pPr>
        <w:pStyle w:val="ListBullet"/>
      </w:pPr>
      <w:r>
        <w:rPr>
          <w:sz w:val="22"/>
        </w:rPr>
        <w:t>The overall attrition rate is 16.12% — 237 of 1,470 employees left.</w:t>
      </w:r>
    </w:p>
    <w:p>
      <w:pPr>
        <w:pStyle w:val="ListBullet"/>
      </w:pPr>
      <w:r>
        <w:rPr>
          <w:sz w:val="22"/>
        </w:rPr>
        <w:t>Overtime work is the strongest single driver: 30.53% attrition for overtime workers vs 10.44%.</w:t>
      </w:r>
    </w:p>
    <w:p>
      <w:pPr>
        <w:pStyle w:val="ListBullet"/>
      </w:pPr>
      <w:r>
        <w:rPr>
          <w:sz w:val="22"/>
        </w:rPr>
        <w:t>Sales Representatives face the highest role-specific attrition (39.76%) with the lowest pay ($2,626/month).</w:t>
      </w:r>
    </w:p>
    <w:p>
      <w:pPr>
        <w:pStyle w:val="ListBullet"/>
      </w:pPr>
      <w:r>
        <w:rPr>
          <w:sz w:val="22"/>
        </w:rPr>
        <w:t>Young employees (18–25: 34.78%) and entry-level employees (Level 1: 26.34%) are the most vulnerable segments.</w:t>
      </w:r>
    </w:p>
    <w:p>
      <w:pPr>
        <w:pStyle w:val="ListBullet"/>
      </w:pPr>
      <w:r>
        <w:rPr>
          <w:sz w:val="22"/>
        </w:rPr>
        <w:t>Business travel frequency, poor work-life balance, and low job satisfaction all correlate strongly with higher attrition.</w:t>
      </w:r>
    </w:p>
    <w:p>
      <w:pPr>
        <w:pStyle w:val="ListBullet"/>
      </w:pPr>
      <w:r>
        <w:rPr>
          <w:sz w:val="22"/>
        </w:rPr>
        <w:t>A consistent $2,046/month compensation gap exists between employees who leave and those who stay.</w:t>
      </w:r>
    </w:p>
    <w:p>
      <w:r>
        <w:br/>
        <w:t>Data analytics transformed this HR challenge from a general concern into specific, quantified, actionable insights. HR management now has a concrete, evidence-based roadmap — eight targeted recommendations addressing overtime, compensation, onboarding, travel policy, work-life balance, and career development — to measurably reduce the 16.12% attrition rate and build a more engaged, stable workforce.</w:t>
      </w:r>
    </w:p>
    <w:p>
      <w:pPr>
        <w:pStyle w:val="Heading1"/>
      </w:pPr>
      <w:r>
        <w:rPr>
          <w:color w:val="1E293B"/>
        </w:rPr>
        <w:t>12.  Limitations</w:t>
      </w:r>
    </w:p>
    <w:p>
      <w:pPr>
        <w:pStyle w:val="ListBullet"/>
      </w:pPr>
      <w:r>
        <w:rPr>
          <w:sz w:val="22"/>
        </w:rPr>
        <w:t>The dataset is a static snapshot and does not capture attrition trends over time.</w:t>
      </w:r>
    </w:p>
    <w:p>
      <w:pPr>
        <w:pStyle w:val="ListBullet"/>
      </w:pPr>
      <w:r>
        <w:rPr>
          <w:sz w:val="22"/>
        </w:rPr>
        <w:t>Findings apply to a single organization and may not generalize to other industries.</w:t>
      </w:r>
    </w:p>
    <w:p>
      <w:pPr>
        <w:pStyle w:val="ListBullet"/>
      </w:pPr>
      <w:r>
        <w:rPr>
          <w:sz w:val="22"/>
        </w:rPr>
        <w:t>Correlation does not imply causation — identified relationships do not prove direct causality.</w:t>
      </w:r>
    </w:p>
    <w:p>
      <w:pPr>
        <w:pStyle w:val="ListBullet"/>
      </w:pPr>
      <w:r>
        <w:rPr>
          <w:sz w:val="22"/>
        </w:rPr>
        <w:t>The dataset lacks qualitative data (e.g., exit interview reasons, manager quality).</w:t>
      </w:r>
    </w:p>
    <w:p>
      <w:pPr>
        <w:pStyle w:val="ListBullet"/>
      </w:pPr>
      <w:r>
        <w:rPr>
          <w:sz w:val="22"/>
        </w:rPr>
        <w:t>Self-reported satisfaction scores are subjective and may carry response bias.</w:t>
      </w:r>
    </w:p>
    <w:p>
      <w:pPr>
        <w:pStyle w:val="Heading1"/>
      </w:pPr>
      <w:r>
        <w:rPr>
          <w:color w:val="1E293B"/>
        </w:rPr>
        <w:t>13.  Future Scope</w:t>
      </w:r>
    </w:p>
    <w:p>
      <w:pPr>
        <w:pStyle w:val="ListBullet"/>
      </w:pPr>
      <w:r>
        <w:rPr>
          <w:sz w:val="22"/>
        </w:rPr>
        <w:t>Develop predictive attrition models (Logistic Regression, Random Forest, XGBoost) to identify high-risk employees proactively.</w:t>
      </w:r>
    </w:p>
    <w:p>
      <w:pPr>
        <w:pStyle w:val="ListBullet"/>
      </w:pPr>
      <w:r>
        <w:rPr>
          <w:sz w:val="22"/>
        </w:rPr>
        <w:t>Build a live HR analytics dashboard (Power BI, Tableau, or Streamlit) for real-time monitoring.</w:t>
      </w:r>
    </w:p>
    <w:p>
      <w:pPr>
        <w:pStyle w:val="ListBullet"/>
      </w:pPr>
      <w:r>
        <w:rPr>
          <w:sz w:val="22"/>
        </w:rPr>
        <w:t>Apply clustering (K-Means) to segment employees by attrition risk profile for targeted interventions.</w:t>
      </w:r>
    </w:p>
    <w:p>
      <w:pPr>
        <w:pStyle w:val="ListBullet"/>
      </w:pPr>
      <w:r>
        <w:rPr>
          <w:sz w:val="22"/>
        </w:rPr>
        <w:t>Conduct time-series analysis to identify seasonal and trend patterns in attrition rates.</w:t>
      </w:r>
    </w:p>
    <w:p>
      <w:pPr>
        <w:pStyle w:val="ListBullet"/>
      </w:pPr>
      <w:r>
        <w:rPr>
          <w:sz w:val="22"/>
        </w:rPr>
        <w:t>Apply NLP to exit interview text data to extract qualitative departure reasons.</w:t>
      </w:r>
    </w:p>
    <w:p>
      <w:pPr>
        <w:pStyle w:val="Heading1"/>
      </w:pPr>
      <w:r>
        <w:rPr>
          <w:color w:val="1E293B"/>
        </w:rPr>
        <w:t>14.  References</w:t>
      </w:r>
    </w:p>
    <w:p>
      <w:pPr>
        <w:spacing w:after="80"/>
      </w:pPr>
      <w:r>
        <w:rPr>
          <w:sz w:val="20"/>
        </w:rPr>
        <w:t>1. IBM HR Analytics Employee Attrition &amp; Performance Dataset. Kaggle. https://www.kaggle.com/datasets/pavansubhasht/ibm-hr-analytics-attrition-dataset</w:t>
      </w:r>
    </w:p>
    <w:p>
      <w:pPr>
        <w:spacing w:after="80"/>
      </w:pPr>
      <w:r>
        <w:rPr>
          <w:sz w:val="20"/>
        </w:rPr>
        <w:t>2. Pandas Documentation. https://pandas.pydata.org/docs/</w:t>
      </w:r>
    </w:p>
    <w:p>
      <w:pPr>
        <w:spacing w:after="80"/>
      </w:pPr>
      <w:r>
        <w:rPr>
          <w:sz w:val="20"/>
        </w:rPr>
        <w:t>3. Matplotlib Documentation. https://matplotlib.org/stable/contents.html</w:t>
      </w:r>
    </w:p>
    <w:p>
      <w:pPr>
        <w:spacing w:after="80"/>
      </w:pPr>
      <w:r>
        <w:rPr>
          <w:sz w:val="20"/>
        </w:rPr>
        <w:t>4. Seaborn Documentation. https://seaborn.pydata.org/</w:t>
      </w:r>
    </w:p>
    <w:p>
      <w:pPr>
        <w:spacing w:after="80"/>
      </w:pPr>
      <w:r>
        <w:rPr>
          <w:sz w:val="20"/>
        </w:rPr>
        <w:t>5. NumPy Documentation. https://numpy.org/doc/</w:t>
      </w:r>
    </w:p>
    <w:p>
      <w:pPr>
        <w:spacing w:after="80"/>
      </w:pPr>
      <w:r>
        <w:rPr>
          <w:sz w:val="20"/>
        </w:rPr>
        <w:t>6. IBM SkillsBuild Data Analytics with AI Academic Internship Program. BharatCares in association with AICTE.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