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b/>
          <w:bCs/>
          <w:color w:val="102A43"/>
          <w:sz w:val="36"/>
          <w:szCs w:val="36"/>
        </w:rPr>
        <w:t xml:space="preserve">VERIREMIT</w:t>
      </w:r>
    </w:p>
    <w:p>
      <w:pPr>
        <w:spacing w:after="40" w:before="0"/>
        <w:jc w:val="center"/>
      </w:pPr>
      <w:r>
        <w:rPr>
          <w:b/>
          <w:bCs/>
          <w:sz w:val="28"/>
          <w:szCs w:val="28"/>
        </w:rPr>
        <w:t xml:space="preserve">Payment Release Authorization</w:t>
      </w:r>
    </w:p>
    <w:p>
      <w:pPr>
        <w:spacing w:after="220" w:before="0"/>
        <w:jc w:val="center"/>
      </w:pPr>
      <w:r>
        <w:rPr>
          <w:color w:val="486581"/>
          <w:sz w:val="18"/>
          <w:szCs w:val="18"/>
        </w:rPr>
        <w:t xml:space="preserve">Human-verified vendor payment change · generated by Doctavian</w:t>
      </w:r>
    </w:p>
    <w:tbl>
      <w:tblPr>
        <w:tblW w:type="dxa" w:w="9000"/>
        <w:tblBorders>
          <w:top w:val="single" w:color="BCCCDC" w:sz="4"/>
          <w:left w:val="single" w:color="BCCCDC" w:sz="4"/>
          <w:bottom w:val="single" w:color="BCCCDC" w:sz="4"/>
          <w:right w:val="single" w:color="BCCCDC" w:sz="4"/>
          <w:insideH w:val="single" w:color="D9E2EC" w:sz="4"/>
          <w:insideV w:val="single" w:color="D9E2EC" w:sz="4"/>
        </w:tblBorders>
      </w:tblPr>
      <w:tblGrid>
        <w:gridCol w:w="2200"/>
        <w:gridCol w:w="6800"/>
      </w:tblGrid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Case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{!Release.CaseId}</w:t>
            </w:r>
          </w:p>
        </w:tc>
      </w:tr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Supplier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{!Release.Supplier}</w:t>
            </w:r>
          </w:p>
        </w:tc>
      </w:tr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Vendor ID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{!Release.VendorId}</w:t>
            </w:r>
          </w:p>
        </w:tc>
      </w:tr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Purchase order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{!Release.PoNumber}</w:t>
            </w:r>
          </w:p>
        </w:tc>
      </w:tr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Amount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{!Release.Amount} {!Release.Currency}</w:t>
            </w:r>
          </w:p>
        </w:tc>
      </w:tr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Beneficiary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{!Release.Beneficiary}</w:t>
            </w:r>
          </w:p>
        </w:tc>
      </w:tr>
      <w:tr>
        <w:tc>
          <w:tcPr>
            <w:tcW w:type="dxa" w:w="2200"/>
          </w:tcPr>
          <w:p>
            <w:pPr>
              <w:spacing w:after="30" w:before="0"/>
              <w:jc w:val="left"/>
            </w:pPr>
            <w:r>
              <w:rPr>
                <w:b/>
                <w:bCs/>
                <w:color w:val="243B53"/>
              </w:rPr>
              <w:t xml:space="preserve">Verified IBAN</w:t>
            </w:r>
          </w:p>
        </w:tc>
        <w:tc>
          <w:tcPr>
            <w:tcW w:type="dxa" w:w="6800"/>
          </w:tcPr>
          <w:p>
            <w:pPr>
              <w:spacing w:after="30" w:before="0"/>
              <w:jc w:val="left"/>
            </w:pPr>
            <w:r>
              <w:t xml:space="preserve">{!Release.Iban}</w:t>
            </w:r>
          </w:p>
        </w:tc>
      </w:tr>
    </w:tbl>
    <w:p>
      <w:pPr>
        <w:spacing w:after="80" w:before="240"/>
        <w:jc w:val="left"/>
      </w:pPr>
      <w:r>
        <w:rPr>
          <w:b/>
          <w:bCs/>
          <w:color w:val="102A43"/>
          <w:sz w:val="24"/>
          <w:szCs w:val="24"/>
        </w:rPr>
        <w:t xml:space="preserve">Independent human verification</w:t>
      </w:r>
    </w:p>
    <w:p>
      <w:pPr>
        <w:spacing w:after="40" w:before="0"/>
        <w:jc w:val="left"/>
      </w:pPr>
      <w:r>
        <w:t xml:space="preserve">Reviewer: {!Release.ReviewerName}</w:t>
      </w:r>
    </w:p>
    <w:p>
      <w:pPr>
        <w:spacing w:after="40" w:before="0"/>
        <w:jc w:val="left"/>
      </w:pPr>
      <w:r>
        <w:t xml:space="preserve">Reference: {!Release.VerificationReference}</w:t>
      </w:r>
    </w:p>
    <w:p>
      <w:pPr>
        <w:spacing w:after="140" w:before="0"/>
        <w:jc w:val="left"/>
      </w:pPr>
      <w:r>
        <w:t xml:space="preserve">Recorded at: {!Release.VerifiedAt}</w:t>
      </w:r>
    </w:p>
    <w:p>
      <w:pPr>
        <w:spacing w:after="80" w:before="100"/>
        <w:jc w:val="left"/>
      </w:pPr>
      <w:r>
        <w:rPr>
          <w:b/>
          <w:bCs/>
          <w:color w:val="102A43"/>
          <w:sz w:val="24"/>
          <w:szCs w:val="24"/>
        </w:rPr>
        <w:t xml:space="preserve">Deterministic control results</w:t>
      </w:r>
    </w:p>
    <w:p>
      <w:pPr>
        <w:spacing w:after="80" w:before="0"/>
        <w:jc w:val="left"/>
      </w:pPr>
      <w:r>
        <w:rPr>
          <w:b/>
          <w:bCs/>
        </w:rPr>
        <w:t xml:space="preserve">Controls recorded in this authorization: {!$count(Release.Checks)}</w:t>
      </w:r>
    </w:p>
    <w:p>
      <w:pPr>
        <w:spacing w:after="20" w:before="0"/>
        <w:jc w:val="left"/>
      </w:pPr>
      <w:r>
        <w:t xml:space="preserve">&lt;mdoc:repeater name="verification-checks" value="{!Release.Checks}" variable="check" mode="standard"&gt;</w:t>
      </w:r>
    </w:p>
    <w:p>
      <w:pPr>
        <w:spacing w:after="40" w:before="0"/>
        <w:jc w:val="left"/>
      </w:pPr>
      <w:r>
        <w:t xml:space="preserve">• {!#check#.Code} — {!#check#.Outcome} — {!#check#.Summary}</w:t>
      </w:r>
    </w:p>
    <w:p>
      <w:pPr>
        <w:spacing w:after="140" w:before="0"/>
        <w:jc w:val="left"/>
      </w:pPr>
      <w:r>
        <w:t xml:space="preserve">&lt;/mdoc:repeater name="verification-checks"&gt;</w:t>
      </w:r>
    </w:p>
    <w:p>
      <w:pPr>
        <w:spacing w:after="80" w:before="100"/>
        <w:jc w:val="left"/>
      </w:pPr>
      <w:r>
        <w:rPr>
          <w:b/>
          <w:bCs/>
          <w:color w:val="102A43"/>
          <w:sz w:val="24"/>
          <w:szCs w:val="24"/>
        </w:rPr>
        <w:t xml:space="preserve">Release boundary</w:t>
      </w:r>
    </w:p>
    <w:p>
      <w:pPr>
        <w:spacing w:after="180" w:before="0"/>
        <w:jc w:val="left"/>
      </w:pPr>
      <w:r>
        <w:t xml:space="preserve">This document records an approved release packet. It does not execute payment and it is not self-signed by the agent. Foxit eSign sends this packet to a human signer, and VeriRemit accepts completion only from the authoritative Foxit status API.</w:t>
      </w:r>
    </w:p>
    <w:p>
      <w:pPr>
        <w:spacing w:after="0" w:before="100"/>
        <w:jc w:val="center"/>
      </w:pPr>
      <w:r>
        <w:rPr>
          <w:color w:val="627D98"/>
          <w:sz w:val="16"/>
          <w:szCs w:val="16"/>
        </w:rPr>
        <w:t xml:space="preserve">Generated from structured, auditable case data.</w:t>
      </w:r>
    </w:p>
    <w:sectPr>
      <w:pgSz w:w="12240" w:h="15840" w:orient="portrait"/>
      <w:pgMar w:top="720" w:right="900" w:bottom="720" w:left="90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VeriRemit Payment Release Authorization</dc:title>
  <dc:subject>Human-verified vendor payment release</dc:subject>
  <dc:creator>VeriRemit</dc:creator>
  <dc:description>Doctavian template generated from structured VeriRemit case data.</dc:description>
  <cp:lastModifiedBy>VeriRemit</cp:lastModifiedBy>
  <cp:revision>1</cp:revision>
  <dcterms:created xsi:type="dcterms:W3CDTF">2026-09-02T13:40:15.677Z</dcterms:created>
  <dcterms:modified xsi:type="dcterms:W3CDTF">2026-09-02T13:40:15.678Z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