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7B196" w14:textId="6FD68700" w:rsidR="00395335" w:rsidRDefault="00395335" w:rsidP="00710035">
      <w:pPr>
        <w:ind w:firstLine="720"/>
        <w:jc w:val="center"/>
        <w:rPr>
          <w:sz w:val="28"/>
          <w:szCs w:val="28"/>
          <w:u w:val="single"/>
        </w:rPr>
      </w:pPr>
      <w:r w:rsidRPr="00395335">
        <w:rPr>
          <w:sz w:val="28"/>
          <w:szCs w:val="28"/>
          <w:u w:val="single"/>
        </w:rPr>
        <w:t xml:space="preserve">Human Health Service </w:t>
      </w:r>
      <w:r>
        <w:rPr>
          <w:sz w:val="28"/>
          <w:szCs w:val="28"/>
          <w:u w:val="single"/>
        </w:rPr>
        <w:t>Sector</w:t>
      </w:r>
      <w:r w:rsidRPr="00395335">
        <w:rPr>
          <w:sz w:val="28"/>
          <w:szCs w:val="28"/>
          <w:u w:val="single"/>
        </w:rPr>
        <w:t xml:space="preserve"> </w:t>
      </w:r>
      <w:r w:rsidR="00D24AB3">
        <w:rPr>
          <w:sz w:val="28"/>
          <w:szCs w:val="28"/>
          <w:u w:val="single"/>
        </w:rPr>
        <w:t>Report</w:t>
      </w:r>
    </w:p>
    <w:p w14:paraId="3C18F21B" w14:textId="240CD68B" w:rsidR="00395335" w:rsidRDefault="00395335" w:rsidP="00395335">
      <w:pPr>
        <w:rPr>
          <w:sz w:val="28"/>
          <w:szCs w:val="28"/>
          <w:u w:val="single"/>
        </w:rPr>
      </w:pPr>
    </w:p>
    <w:p w14:paraId="1B8F5915" w14:textId="65593226" w:rsidR="00395335" w:rsidRDefault="00395335" w:rsidP="00395335">
      <w:pPr>
        <w:rPr>
          <w:sz w:val="28"/>
          <w:szCs w:val="28"/>
          <w:u w:val="single"/>
        </w:rPr>
      </w:pPr>
    </w:p>
    <w:p w14:paraId="29E5CC80" w14:textId="7683706C" w:rsidR="00395335" w:rsidRPr="00395335" w:rsidRDefault="00395335" w:rsidP="00395335">
      <w:pPr>
        <w:rPr>
          <w:b/>
          <w:bCs/>
        </w:rPr>
      </w:pPr>
      <w:r w:rsidRPr="00395335">
        <w:rPr>
          <w:b/>
          <w:bCs/>
        </w:rPr>
        <w:t>What is the Human Health Services Sector?</w:t>
      </w:r>
    </w:p>
    <w:p w14:paraId="2B7CE31C" w14:textId="71217705" w:rsidR="00395335" w:rsidRDefault="00395335" w:rsidP="00395335">
      <w:pPr>
        <w:rPr>
          <w:u w:val="single"/>
        </w:rPr>
      </w:pPr>
    </w:p>
    <w:p w14:paraId="2BDFF075" w14:textId="710ABB99" w:rsidR="00395335" w:rsidRDefault="00395335" w:rsidP="00395335">
      <w:r>
        <w:t>The human health services sector includes companies that specialise in the delivery of human services.</w:t>
      </w:r>
    </w:p>
    <w:p w14:paraId="43CBBF90" w14:textId="7A80CF33" w:rsidR="00395335" w:rsidRDefault="00395335" w:rsidP="00395335"/>
    <w:p w14:paraId="3A99DA34" w14:textId="1158759C" w:rsidR="00395335" w:rsidRDefault="00395335" w:rsidP="00D24AB3">
      <w:pPr>
        <w:jc w:val="center"/>
        <w:rPr>
          <w:b/>
          <w:bCs/>
        </w:rPr>
      </w:pPr>
      <w:r w:rsidRPr="00395335">
        <w:rPr>
          <w:b/>
          <w:bCs/>
        </w:rPr>
        <w:t>Analysis of the Turnover of the sector by NUTS1 Region</w:t>
      </w:r>
      <w:r>
        <w:rPr>
          <w:b/>
          <w:bCs/>
        </w:rPr>
        <w:t xml:space="preserve"> from 2017-2021</w:t>
      </w:r>
    </w:p>
    <w:p w14:paraId="09A48ABC" w14:textId="086B1675" w:rsidR="00395335" w:rsidRDefault="00395335" w:rsidP="00395335">
      <w:pPr>
        <w:rPr>
          <w:b/>
          <w:bCs/>
        </w:rPr>
      </w:pPr>
    </w:p>
    <w:p w14:paraId="0F4936E9" w14:textId="06CC4929" w:rsidR="00395335" w:rsidRDefault="00395335" w:rsidP="00395335">
      <w:pPr>
        <w:rPr>
          <w:b/>
          <w:bCs/>
        </w:rPr>
      </w:pPr>
    </w:p>
    <w:p w14:paraId="661F6C6E" w14:textId="7DC8A766" w:rsidR="00395335" w:rsidRDefault="00395335" w:rsidP="00395335">
      <w:r>
        <w:t xml:space="preserve">Analysis of the total turnover for each </w:t>
      </w:r>
      <w:r w:rsidR="005175F2">
        <w:t>NUTS1 region from 2017-2021 and it is clear to see that London dominates this metric with over half of the revenue generated in this region.</w:t>
      </w:r>
    </w:p>
    <w:p w14:paraId="6B8D292E" w14:textId="3CC885E5" w:rsidR="00395335" w:rsidRDefault="00395335" w:rsidP="00395335">
      <w:pPr>
        <w:rPr>
          <w:b/>
          <w:bCs/>
        </w:rPr>
      </w:pPr>
      <w:r w:rsidRPr="00395335">
        <w:drawing>
          <wp:anchor distT="0" distB="0" distL="114300" distR="114300" simplePos="0" relativeHeight="251658240" behindDoc="0" locked="0" layoutInCell="1" allowOverlap="1" wp14:anchorId="23F9B0C6" wp14:editId="2B464769">
            <wp:simplePos x="0" y="0"/>
            <wp:positionH relativeFrom="column">
              <wp:posOffset>0</wp:posOffset>
            </wp:positionH>
            <wp:positionV relativeFrom="paragraph">
              <wp:posOffset>219075</wp:posOffset>
            </wp:positionV>
            <wp:extent cx="5727700" cy="3937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7700" cy="3937000"/>
                    </a:xfrm>
                    <a:prstGeom prst="rect">
                      <a:avLst/>
                    </a:prstGeom>
                  </pic:spPr>
                </pic:pic>
              </a:graphicData>
            </a:graphic>
            <wp14:sizeRelH relativeFrom="page">
              <wp14:pctWidth>0</wp14:pctWidth>
            </wp14:sizeRelH>
            <wp14:sizeRelV relativeFrom="page">
              <wp14:pctHeight>0</wp14:pctHeight>
            </wp14:sizeRelV>
          </wp:anchor>
        </w:drawing>
      </w:r>
    </w:p>
    <w:p w14:paraId="2198F302" w14:textId="5571E4FD" w:rsidR="00395335" w:rsidRPr="00395335" w:rsidRDefault="00395335" w:rsidP="00395335">
      <w:pPr>
        <w:rPr>
          <w:b/>
          <w:bCs/>
        </w:rPr>
      </w:pPr>
    </w:p>
    <w:p w14:paraId="0400CCAF" w14:textId="22A1390A" w:rsidR="005175F2" w:rsidRDefault="005175F2" w:rsidP="005175F2">
      <w:r>
        <w:t>However, to see that this effect is not solely due to the sheer number of businesses present in this region, we investigated the turnover with respect to the number of businesses registered.</w:t>
      </w:r>
    </w:p>
    <w:p w14:paraId="1E15F5E6" w14:textId="4B87340C" w:rsidR="005175F2" w:rsidRDefault="005175F2" w:rsidP="005175F2"/>
    <w:p w14:paraId="1CE492BE" w14:textId="07DE4976" w:rsidR="005175F2" w:rsidRDefault="005175F2" w:rsidP="005175F2"/>
    <w:p w14:paraId="75B4DD73" w14:textId="36A07DB6" w:rsidR="005175F2" w:rsidRDefault="005175F2" w:rsidP="005175F2"/>
    <w:p w14:paraId="46038F8D" w14:textId="11A6E54C" w:rsidR="005175F2" w:rsidRDefault="005175F2" w:rsidP="005175F2"/>
    <w:p w14:paraId="4AB75C9D" w14:textId="7768E23A" w:rsidR="005175F2" w:rsidRDefault="005175F2" w:rsidP="005175F2"/>
    <w:p w14:paraId="753F2348" w14:textId="10265BC2" w:rsidR="00395335" w:rsidRPr="00395335" w:rsidRDefault="00395335" w:rsidP="00395335">
      <w:pPr>
        <w:rPr>
          <w:u w:val="single"/>
        </w:rPr>
      </w:pPr>
    </w:p>
    <w:p w14:paraId="18353251" w14:textId="0056371A" w:rsidR="00395335" w:rsidRPr="00D24AB3" w:rsidRDefault="00395335" w:rsidP="00D24AB3">
      <w:pPr>
        <w:rPr>
          <w:sz w:val="22"/>
          <w:szCs w:val="22"/>
          <w:u w:val="single"/>
        </w:rPr>
      </w:pPr>
    </w:p>
    <w:p w14:paraId="76276D5C" w14:textId="77777777" w:rsidR="005175F2" w:rsidRPr="00D24AB3" w:rsidRDefault="005175F2" w:rsidP="00D24AB3">
      <w:pPr>
        <w:rPr>
          <w:b/>
          <w:bCs/>
        </w:rPr>
      </w:pPr>
      <w:r w:rsidRPr="00D24AB3">
        <w:rPr>
          <w:sz w:val="22"/>
          <w:szCs w:val="22"/>
        </w:rPr>
        <w:drawing>
          <wp:anchor distT="0" distB="0" distL="114300" distR="114300" simplePos="0" relativeHeight="251659264" behindDoc="0" locked="0" layoutInCell="1" allowOverlap="1" wp14:anchorId="76FC314F" wp14:editId="1CC481C4">
            <wp:simplePos x="0" y="0"/>
            <wp:positionH relativeFrom="column">
              <wp:posOffset>0</wp:posOffset>
            </wp:positionH>
            <wp:positionV relativeFrom="paragraph">
              <wp:posOffset>1096645</wp:posOffset>
            </wp:positionV>
            <wp:extent cx="5727700" cy="39039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27700" cy="3903980"/>
                    </a:xfrm>
                    <a:prstGeom prst="rect">
                      <a:avLst/>
                    </a:prstGeom>
                  </pic:spPr>
                </pic:pic>
              </a:graphicData>
            </a:graphic>
            <wp14:sizeRelH relativeFrom="page">
              <wp14:pctWidth>0</wp14:pctWidth>
            </wp14:sizeRelH>
            <wp14:sizeRelV relativeFrom="page">
              <wp14:pctHeight>0</wp14:pctHeight>
            </wp14:sizeRelV>
          </wp:anchor>
        </w:drawing>
      </w:r>
      <w:r w:rsidRPr="00D24AB3">
        <w:rPr>
          <w:b/>
          <w:bCs/>
        </w:rPr>
        <w:t>Geographical Map showing the yearly turnover per the number of businesses</w:t>
      </w:r>
    </w:p>
    <w:p w14:paraId="3BB26C8B" w14:textId="080FBC90" w:rsidR="00395335" w:rsidRPr="00D24AB3" w:rsidRDefault="005175F2" w:rsidP="00D24AB3">
      <w:pPr>
        <w:rPr>
          <w:b/>
          <w:bCs/>
        </w:rPr>
      </w:pPr>
      <w:r w:rsidRPr="00D24AB3">
        <w:rPr>
          <w:b/>
          <w:bCs/>
        </w:rPr>
        <w:t>For each NUTS1 region in 2021.</w:t>
      </w:r>
    </w:p>
    <w:p w14:paraId="5EC191EA" w14:textId="4307A14A" w:rsidR="005175F2" w:rsidRDefault="005175F2" w:rsidP="00395335">
      <w:pPr>
        <w:rPr>
          <w:b/>
          <w:bCs/>
          <w:sz w:val="28"/>
          <w:szCs w:val="28"/>
        </w:rPr>
      </w:pPr>
    </w:p>
    <w:p w14:paraId="16C36136" w14:textId="6075197A" w:rsidR="005175F2" w:rsidRDefault="005175F2" w:rsidP="00395335">
      <w:pPr>
        <w:rPr>
          <w:b/>
          <w:bCs/>
          <w:sz w:val="28"/>
          <w:szCs w:val="28"/>
        </w:rPr>
      </w:pPr>
    </w:p>
    <w:p w14:paraId="075F3464" w14:textId="6A699659" w:rsidR="005175F2" w:rsidRDefault="005175F2" w:rsidP="00395335">
      <w:pPr>
        <w:rPr>
          <w:b/>
          <w:bCs/>
          <w:sz w:val="28"/>
          <w:szCs w:val="28"/>
        </w:rPr>
      </w:pPr>
    </w:p>
    <w:p w14:paraId="50A2B598" w14:textId="77777777" w:rsidR="005175F2" w:rsidRPr="005175F2" w:rsidRDefault="005175F2" w:rsidP="005175F2">
      <w:pPr>
        <w:rPr>
          <w:sz w:val="28"/>
          <w:szCs w:val="28"/>
        </w:rPr>
      </w:pPr>
    </w:p>
    <w:p w14:paraId="39845F6D" w14:textId="72907036" w:rsidR="005175F2" w:rsidRDefault="005175F2" w:rsidP="005175F2">
      <w:r>
        <w:t>Wales generated the highest turnover with respect to the number of businesses at over £17,000 revenue per company on average followed by the North East at over £13,000.</w:t>
      </w:r>
    </w:p>
    <w:p w14:paraId="647ECCB5" w14:textId="0889E244" w:rsidR="005175F2" w:rsidRDefault="005175F2" w:rsidP="00CF5D9A">
      <w:r>
        <w:t>Although</w:t>
      </w:r>
      <w:r w:rsidR="00CF5D9A">
        <w:t xml:space="preserve"> the region of</w:t>
      </w:r>
      <w:r>
        <w:t xml:space="preserve"> London</w:t>
      </w:r>
      <w:r w:rsidR="00CF5D9A">
        <w:t xml:space="preserve"> </w:t>
      </w:r>
      <w:r>
        <w:t xml:space="preserve">may have the highest gross turnover, it </w:t>
      </w:r>
      <w:r w:rsidR="00CF5D9A">
        <w:t>has a mediocre turnover of just under £6,000 reflecting the high number of companies present.</w:t>
      </w:r>
    </w:p>
    <w:p w14:paraId="2CBA0DB1" w14:textId="78AC019C" w:rsidR="00CF5D9A" w:rsidRDefault="00CF5D9A" w:rsidP="00CF5D9A"/>
    <w:p w14:paraId="79C6B45B" w14:textId="5701FC78" w:rsidR="00CF5D9A" w:rsidRDefault="00CF5D9A" w:rsidP="00CF5D9A"/>
    <w:p w14:paraId="023F79B7" w14:textId="582D0718" w:rsidR="00CF5D9A" w:rsidRDefault="00CF5D9A" w:rsidP="00CF5D9A"/>
    <w:p w14:paraId="5276049A" w14:textId="77777777" w:rsidR="00CF5D9A" w:rsidRPr="00CF5D9A" w:rsidRDefault="00CF5D9A" w:rsidP="00CF5D9A"/>
    <w:p w14:paraId="22C8B75D" w14:textId="77777777" w:rsidR="005175F2" w:rsidRPr="005175F2" w:rsidRDefault="005175F2" w:rsidP="005175F2">
      <w:pPr>
        <w:rPr>
          <w:sz w:val="28"/>
          <w:szCs w:val="28"/>
        </w:rPr>
      </w:pPr>
    </w:p>
    <w:p w14:paraId="716EED93" w14:textId="77777777" w:rsidR="005175F2" w:rsidRPr="005175F2" w:rsidRDefault="005175F2" w:rsidP="005175F2">
      <w:pPr>
        <w:rPr>
          <w:sz w:val="28"/>
          <w:szCs w:val="28"/>
        </w:rPr>
      </w:pPr>
    </w:p>
    <w:p w14:paraId="720FAB05" w14:textId="77777777" w:rsidR="005175F2" w:rsidRPr="005175F2" w:rsidRDefault="005175F2" w:rsidP="005175F2">
      <w:pPr>
        <w:rPr>
          <w:sz w:val="28"/>
          <w:szCs w:val="28"/>
        </w:rPr>
      </w:pPr>
    </w:p>
    <w:p w14:paraId="2A21E24B" w14:textId="77777777" w:rsidR="005175F2" w:rsidRPr="005175F2" w:rsidRDefault="005175F2" w:rsidP="005175F2">
      <w:pPr>
        <w:rPr>
          <w:sz w:val="28"/>
          <w:szCs w:val="28"/>
        </w:rPr>
      </w:pPr>
    </w:p>
    <w:p w14:paraId="387EBAE7" w14:textId="1392E3B5" w:rsidR="005175F2" w:rsidRPr="005175F2" w:rsidRDefault="005175F2" w:rsidP="005175F2">
      <w:pPr>
        <w:rPr>
          <w:sz w:val="28"/>
          <w:szCs w:val="28"/>
        </w:rPr>
      </w:pPr>
    </w:p>
    <w:p w14:paraId="383A6545" w14:textId="4BAC3B82" w:rsidR="005175F2" w:rsidRDefault="005175F2" w:rsidP="005175F2">
      <w:pPr>
        <w:rPr>
          <w:sz w:val="28"/>
          <w:szCs w:val="28"/>
        </w:rPr>
      </w:pPr>
    </w:p>
    <w:p w14:paraId="4017AC34" w14:textId="3908F383" w:rsidR="00CF5D9A" w:rsidRDefault="00CF5D9A" w:rsidP="005175F2">
      <w:pPr>
        <w:rPr>
          <w:sz w:val="28"/>
          <w:szCs w:val="28"/>
        </w:rPr>
      </w:pPr>
    </w:p>
    <w:p w14:paraId="1F4B1D5F" w14:textId="67589797" w:rsidR="00CF5D9A" w:rsidRDefault="00CF5D9A" w:rsidP="005175F2">
      <w:pPr>
        <w:rPr>
          <w:sz w:val="28"/>
          <w:szCs w:val="28"/>
        </w:rPr>
      </w:pPr>
    </w:p>
    <w:p w14:paraId="1EE37C0C" w14:textId="3D054739" w:rsidR="00CF5D9A" w:rsidRPr="00D24AB3" w:rsidRDefault="00CF5D9A" w:rsidP="005175F2"/>
    <w:p w14:paraId="4538B463" w14:textId="77777777" w:rsidR="007621F4" w:rsidRDefault="007621F4" w:rsidP="0019001D">
      <w:pPr>
        <w:rPr>
          <w:b/>
          <w:bCs/>
        </w:rPr>
      </w:pPr>
    </w:p>
    <w:p w14:paraId="1CA57C29" w14:textId="53F04FF8" w:rsidR="0019001D" w:rsidRPr="00D24AB3" w:rsidRDefault="0019001D" w:rsidP="0019001D">
      <w:pPr>
        <w:rPr>
          <w:b/>
          <w:bCs/>
        </w:rPr>
      </w:pPr>
      <w:bookmarkStart w:id="0" w:name="_GoBack"/>
      <w:bookmarkEnd w:id="0"/>
      <w:r w:rsidRPr="00D24AB3">
        <w:rPr>
          <w:b/>
          <w:bCs/>
        </w:rPr>
        <w:t>Yearly turnover per the number of businesses for London and North East regions in 2021.</w:t>
      </w:r>
    </w:p>
    <w:p w14:paraId="1398E712" w14:textId="0AD738D5" w:rsidR="0019001D" w:rsidRPr="0019001D" w:rsidRDefault="00D24AB3" w:rsidP="0019001D">
      <w:pPr>
        <w:rPr>
          <w:b/>
          <w:bCs/>
          <w:sz w:val="28"/>
          <w:szCs w:val="28"/>
        </w:rPr>
      </w:pPr>
      <w:r w:rsidRPr="00D24AB3">
        <w:drawing>
          <wp:anchor distT="0" distB="0" distL="114300" distR="114300" simplePos="0" relativeHeight="251660288" behindDoc="0" locked="0" layoutInCell="1" allowOverlap="1" wp14:anchorId="49C9B41F" wp14:editId="3011E26A">
            <wp:simplePos x="0" y="0"/>
            <wp:positionH relativeFrom="column">
              <wp:posOffset>205740</wp:posOffset>
            </wp:positionH>
            <wp:positionV relativeFrom="paragraph">
              <wp:posOffset>401955</wp:posOffset>
            </wp:positionV>
            <wp:extent cx="3979545" cy="27120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79545" cy="2712085"/>
                    </a:xfrm>
                    <a:prstGeom prst="rect">
                      <a:avLst/>
                    </a:prstGeom>
                  </pic:spPr>
                </pic:pic>
              </a:graphicData>
            </a:graphic>
            <wp14:sizeRelH relativeFrom="page">
              <wp14:pctWidth>0</wp14:pctWidth>
            </wp14:sizeRelH>
            <wp14:sizeRelV relativeFrom="page">
              <wp14:pctHeight>0</wp14:pctHeight>
            </wp14:sizeRelV>
          </wp:anchor>
        </w:drawing>
      </w:r>
    </w:p>
    <w:p w14:paraId="4FF74572" w14:textId="5594708F" w:rsidR="00CF5D9A" w:rsidRDefault="00CF5D9A" w:rsidP="005175F2">
      <w:pPr>
        <w:rPr>
          <w:sz w:val="28"/>
          <w:szCs w:val="28"/>
        </w:rPr>
      </w:pPr>
    </w:p>
    <w:p w14:paraId="38195433" w14:textId="471418C0" w:rsidR="00CF5D9A" w:rsidRDefault="00D24AB3" w:rsidP="005175F2">
      <w:pPr>
        <w:rPr>
          <w:sz w:val="28"/>
          <w:szCs w:val="28"/>
        </w:rPr>
      </w:pPr>
      <w:r w:rsidRPr="0019001D">
        <w:rPr>
          <w:sz w:val="28"/>
          <w:szCs w:val="28"/>
        </w:rPr>
        <w:drawing>
          <wp:anchor distT="0" distB="0" distL="114300" distR="114300" simplePos="0" relativeHeight="251661312" behindDoc="0" locked="0" layoutInCell="1" allowOverlap="1" wp14:anchorId="4495DD8F" wp14:editId="3270BF8B">
            <wp:simplePos x="0" y="0"/>
            <wp:positionH relativeFrom="column">
              <wp:posOffset>177165</wp:posOffset>
            </wp:positionH>
            <wp:positionV relativeFrom="paragraph">
              <wp:posOffset>109855</wp:posOffset>
            </wp:positionV>
            <wp:extent cx="4009390" cy="2732405"/>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09390" cy="2732405"/>
                    </a:xfrm>
                    <a:prstGeom prst="rect">
                      <a:avLst/>
                    </a:prstGeom>
                  </pic:spPr>
                </pic:pic>
              </a:graphicData>
            </a:graphic>
            <wp14:sizeRelH relativeFrom="page">
              <wp14:pctWidth>0</wp14:pctWidth>
            </wp14:sizeRelH>
            <wp14:sizeRelV relativeFrom="page">
              <wp14:pctHeight>0</wp14:pctHeight>
            </wp14:sizeRelV>
          </wp:anchor>
        </w:drawing>
      </w:r>
    </w:p>
    <w:p w14:paraId="678F1D2A" w14:textId="5AFBD401" w:rsidR="00CF5D9A" w:rsidRDefault="00CF5D9A" w:rsidP="005175F2">
      <w:pPr>
        <w:rPr>
          <w:sz w:val="28"/>
          <w:szCs w:val="28"/>
        </w:rPr>
      </w:pPr>
    </w:p>
    <w:p w14:paraId="63FBFEBC" w14:textId="3B200EF2" w:rsidR="00CF5D9A" w:rsidRDefault="00CF5D9A" w:rsidP="005175F2">
      <w:pPr>
        <w:rPr>
          <w:sz w:val="28"/>
          <w:szCs w:val="28"/>
        </w:rPr>
      </w:pPr>
    </w:p>
    <w:p w14:paraId="1F2096AA" w14:textId="54110ED1" w:rsidR="00CF5D9A" w:rsidRDefault="00CF5D9A" w:rsidP="005175F2">
      <w:pPr>
        <w:rPr>
          <w:sz w:val="28"/>
          <w:szCs w:val="28"/>
        </w:rPr>
      </w:pPr>
    </w:p>
    <w:p w14:paraId="0B9FB25A" w14:textId="69986C34" w:rsidR="00CF5D9A" w:rsidRPr="005175F2" w:rsidRDefault="00CF5D9A" w:rsidP="005175F2">
      <w:pPr>
        <w:rPr>
          <w:sz w:val="28"/>
          <w:szCs w:val="28"/>
        </w:rPr>
      </w:pPr>
    </w:p>
    <w:p w14:paraId="7FCD6278" w14:textId="6FCF4922" w:rsidR="005175F2" w:rsidRPr="005175F2" w:rsidRDefault="005175F2" w:rsidP="005175F2">
      <w:pPr>
        <w:rPr>
          <w:sz w:val="28"/>
          <w:szCs w:val="28"/>
        </w:rPr>
      </w:pPr>
    </w:p>
    <w:p w14:paraId="25984CE0" w14:textId="5329CAE2" w:rsidR="005175F2" w:rsidRPr="005175F2" w:rsidRDefault="005175F2" w:rsidP="005175F2">
      <w:pPr>
        <w:rPr>
          <w:sz w:val="28"/>
          <w:szCs w:val="28"/>
        </w:rPr>
      </w:pPr>
    </w:p>
    <w:p w14:paraId="068985E8" w14:textId="520FC0A2" w:rsidR="005175F2" w:rsidRPr="005175F2" w:rsidRDefault="005175F2" w:rsidP="005175F2">
      <w:pPr>
        <w:rPr>
          <w:sz w:val="28"/>
          <w:szCs w:val="28"/>
        </w:rPr>
      </w:pPr>
    </w:p>
    <w:p w14:paraId="6D281608" w14:textId="7D0F6E82" w:rsidR="005175F2" w:rsidRPr="005175F2" w:rsidRDefault="005175F2" w:rsidP="005175F2">
      <w:pPr>
        <w:rPr>
          <w:sz w:val="28"/>
          <w:szCs w:val="28"/>
        </w:rPr>
      </w:pPr>
    </w:p>
    <w:p w14:paraId="3F524A10" w14:textId="43C28DEF" w:rsidR="005175F2" w:rsidRPr="005175F2" w:rsidRDefault="005175F2" w:rsidP="005175F2">
      <w:pPr>
        <w:rPr>
          <w:sz w:val="28"/>
          <w:szCs w:val="28"/>
        </w:rPr>
      </w:pPr>
    </w:p>
    <w:p w14:paraId="60E8F99B" w14:textId="69191CCB" w:rsidR="005175F2" w:rsidRPr="005175F2" w:rsidRDefault="005175F2" w:rsidP="005175F2">
      <w:pPr>
        <w:rPr>
          <w:sz w:val="28"/>
          <w:szCs w:val="28"/>
        </w:rPr>
      </w:pPr>
    </w:p>
    <w:p w14:paraId="32F7052C" w14:textId="3EC2A22D" w:rsidR="005175F2" w:rsidRPr="005175F2" w:rsidRDefault="005175F2" w:rsidP="005175F2">
      <w:pPr>
        <w:rPr>
          <w:sz w:val="28"/>
          <w:szCs w:val="28"/>
        </w:rPr>
      </w:pPr>
    </w:p>
    <w:p w14:paraId="6FB9D31C" w14:textId="7196EB5F" w:rsidR="005175F2" w:rsidRDefault="005175F2" w:rsidP="005175F2">
      <w:pPr>
        <w:rPr>
          <w:sz w:val="28"/>
          <w:szCs w:val="28"/>
        </w:rPr>
      </w:pPr>
    </w:p>
    <w:p w14:paraId="45D08995" w14:textId="6C3AEC86" w:rsidR="0019001D" w:rsidRDefault="0019001D" w:rsidP="005175F2"/>
    <w:p w14:paraId="2B90B0E4" w14:textId="69FE780F" w:rsidR="0019001D" w:rsidRDefault="0019001D" w:rsidP="005175F2">
      <w:r>
        <w:t xml:space="preserve">When we drill down and look at local authorities representing each NUTS1 region (London and North East in this case), we find that each region’s average turnover metric is dominated by 1-2 local authorities such as the City of London and Kingston upon Thames with £95,000 and approximately £50,000 respectively for the region of London. </w:t>
      </w:r>
      <w:r w:rsidR="006D41B1">
        <w:t>Similarly,</w:t>
      </w:r>
      <w:r>
        <w:t xml:space="preserve"> for the North East, Darlington with a turnover of £120,000 per the number of businesses residing within that authority. </w:t>
      </w:r>
    </w:p>
    <w:p w14:paraId="5F8B626C" w14:textId="014BB5E2" w:rsidR="0019001D" w:rsidRDefault="0019001D" w:rsidP="005175F2"/>
    <w:p w14:paraId="34195690" w14:textId="4E4B3B70" w:rsidR="006D41B1" w:rsidRDefault="0019001D" w:rsidP="007A646F">
      <w:r>
        <w:t xml:space="preserve">This trend </w:t>
      </w:r>
      <w:r w:rsidR="006D41B1">
        <w:t>is seen for the</w:t>
      </w:r>
      <w:r>
        <w:t xml:space="preserve"> </w:t>
      </w:r>
      <w:r w:rsidR="006D41B1">
        <w:t>majority of NUTS1 regions in the UK for the years between 2017-2021, clearly reflecting the disparities in the economic output of this sector between local authorities.</w:t>
      </w:r>
    </w:p>
    <w:p w14:paraId="56F540BD" w14:textId="5901C8DF" w:rsidR="006D41B1" w:rsidRDefault="006D41B1" w:rsidP="005175F2"/>
    <w:p w14:paraId="72183BD5" w14:textId="65F5952B" w:rsidR="006D41B1" w:rsidRPr="007A646F" w:rsidRDefault="006D41B1" w:rsidP="006D41B1">
      <w:pPr>
        <w:rPr>
          <w:b/>
          <w:bCs/>
        </w:rPr>
      </w:pPr>
      <w:r w:rsidRPr="007A646F">
        <w:rPr>
          <w:sz w:val="22"/>
          <w:szCs w:val="22"/>
        </w:rPr>
        <w:drawing>
          <wp:anchor distT="0" distB="0" distL="114300" distR="114300" simplePos="0" relativeHeight="251662336" behindDoc="0" locked="0" layoutInCell="1" allowOverlap="1" wp14:anchorId="1F25BEB9" wp14:editId="6A00E6AF">
            <wp:simplePos x="0" y="0"/>
            <wp:positionH relativeFrom="column">
              <wp:posOffset>0</wp:posOffset>
            </wp:positionH>
            <wp:positionV relativeFrom="paragraph">
              <wp:posOffset>574040</wp:posOffset>
            </wp:positionV>
            <wp:extent cx="5727700" cy="38887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27700" cy="3888740"/>
                    </a:xfrm>
                    <a:prstGeom prst="rect">
                      <a:avLst/>
                    </a:prstGeom>
                  </pic:spPr>
                </pic:pic>
              </a:graphicData>
            </a:graphic>
            <wp14:sizeRelH relativeFrom="page">
              <wp14:pctWidth>0</wp14:pctWidth>
            </wp14:sizeRelH>
            <wp14:sizeRelV relativeFrom="page">
              <wp14:pctHeight>0</wp14:pctHeight>
            </wp14:sizeRelV>
          </wp:anchor>
        </w:drawing>
      </w:r>
      <w:r w:rsidR="007A646F">
        <w:rPr>
          <w:b/>
          <w:bCs/>
        </w:rPr>
        <w:t>Y</w:t>
      </w:r>
      <w:r w:rsidRPr="007A646F">
        <w:rPr>
          <w:b/>
          <w:bCs/>
        </w:rPr>
        <w:t>early Turnover by company growth stage</w:t>
      </w:r>
    </w:p>
    <w:p w14:paraId="55C75F42" w14:textId="77777777" w:rsidR="006D41B1" w:rsidRPr="006D41B1" w:rsidRDefault="006D41B1" w:rsidP="006D41B1">
      <w:pPr>
        <w:rPr>
          <w:sz w:val="28"/>
          <w:szCs w:val="28"/>
        </w:rPr>
      </w:pPr>
    </w:p>
    <w:p w14:paraId="422015F2" w14:textId="7ED62760" w:rsidR="006D41B1" w:rsidRPr="006D41B1" w:rsidRDefault="006D41B1" w:rsidP="006D41B1">
      <w:pPr>
        <w:ind w:firstLine="720"/>
      </w:pPr>
    </w:p>
    <w:p w14:paraId="0C655F43" w14:textId="3660152A" w:rsidR="006D41B1" w:rsidRDefault="006D41B1" w:rsidP="00B7741C">
      <w:r w:rsidRPr="006D41B1">
        <w:t>In order to see what type of companies</w:t>
      </w:r>
      <w:r>
        <w:t xml:space="preserve"> </w:t>
      </w:r>
      <w:r w:rsidRPr="006D41B1">
        <w:t>are</w:t>
      </w:r>
      <w:r>
        <w:t xml:space="preserve"> </w:t>
      </w:r>
      <w:r w:rsidRPr="006D41B1">
        <w:t xml:space="preserve">contributing to the turnover, the bar graph </w:t>
      </w:r>
      <w:r w:rsidR="00B7741C">
        <w:t xml:space="preserve">shows that established companies contribute the majority of the total turnover (approx 90%) from 2017-2021. </w:t>
      </w:r>
    </w:p>
    <w:p w14:paraId="102DFF31" w14:textId="4FA3A522" w:rsidR="00B7741C" w:rsidRDefault="00B7741C" w:rsidP="00B7741C">
      <w:pPr>
        <w:rPr>
          <w:sz w:val="28"/>
          <w:szCs w:val="28"/>
        </w:rPr>
      </w:pPr>
    </w:p>
    <w:p w14:paraId="5402FB3E" w14:textId="65F7F7F9" w:rsidR="00B7741C" w:rsidRDefault="00B7741C" w:rsidP="00B7741C">
      <w:r>
        <w:t>For companies that are not established, there has been a gradual decreasing trend in the economic output from 2017-2020 before this exacerbated in 2021.</w:t>
      </w:r>
    </w:p>
    <w:p w14:paraId="74F0EBE3" w14:textId="59965AE6" w:rsidR="00B7741C" w:rsidRDefault="00B7741C" w:rsidP="00B7741C"/>
    <w:p w14:paraId="3B13D3C8" w14:textId="3398B0BF" w:rsidR="00B7741C" w:rsidRDefault="00B7741C" w:rsidP="00B7741C">
      <w:r>
        <w:t xml:space="preserve">For established companies, yearly turnover saw an increase from 2017 with its peak at 2020 before a drastic drop off of around £25 billion in 2021. </w:t>
      </w:r>
    </w:p>
    <w:p w14:paraId="03C15BBE" w14:textId="2BE93F06" w:rsidR="00B7741C" w:rsidRDefault="00B7741C" w:rsidP="00B7741C"/>
    <w:p w14:paraId="2E238918" w14:textId="7A6E0E20" w:rsidR="00B7741C" w:rsidRDefault="00B7741C" w:rsidP="00B7741C">
      <w:pPr>
        <w:rPr>
          <w:b/>
          <w:bCs/>
        </w:rPr>
      </w:pPr>
      <w:r>
        <w:rPr>
          <w:b/>
          <w:bCs/>
        </w:rPr>
        <w:t xml:space="preserve">Summary of the </w:t>
      </w:r>
      <w:r w:rsidR="00D24AB3">
        <w:rPr>
          <w:b/>
          <w:bCs/>
        </w:rPr>
        <w:t>economic output of the human health services sector</w:t>
      </w:r>
    </w:p>
    <w:p w14:paraId="612863D4" w14:textId="3CE4B2EA" w:rsidR="00D24AB3" w:rsidRPr="00D24AB3" w:rsidRDefault="00D24AB3" w:rsidP="00D24AB3">
      <w:pPr>
        <w:pStyle w:val="ListParagraph"/>
        <w:numPr>
          <w:ilvl w:val="0"/>
          <w:numId w:val="1"/>
        </w:numPr>
        <w:rPr>
          <w:b/>
          <w:bCs/>
        </w:rPr>
      </w:pPr>
      <w:r>
        <w:t>The turnover statistics show great disparities at the local geographical scale where a small number of large established companies contribute the overwhelming majority of the turnover.</w:t>
      </w:r>
    </w:p>
    <w:p w14:paraId="2CB090CD" w14:textId="37891BDC" w:rsidR="00D24AB3" w:rsidRPr="00D24AB3" w:rsidRDefault="00D24AB3" w:rsidP="00D24AB3">
      <w:pPr>
        <w:pStyle w:val="ListParagraph"/>
        <w:numPr>
          <w:ilvl w:val="0"/>
          <w:numId w:val="1"/>
        </w:numPr>
        <w:rPr>
          <w:b/>
          <w:bCs/>
        </w:rPr>
      </w:pPr>
      <w:r>
        <w:t>There has been a massive drop off in 2021 with £30 billion lost in total in this sector, probably due to the</w:t>
      </w:r>
      <w:r w:rsidR="007A646F">
        <w:t xml:space="preserve"> effects of the</w:t>
      </w:r>
      <w:r>
        <w:t xml:space="preserve"> pandemic.</w:t>
      </w:r>
    </w:p>
    <w:p w14:paraId="795A6E23" w14:textId="047A929A" w:rsidR="00D24AB3" w:rsidRDefault="00D24AB3" w:rsidP="00D24AB3">
      <w:pPr>
        <w:rPr>
          <w:b/>
          <w:bCs/>
        </w:rPr>
      </w:pPr>
    </w:p>
    <w:p w14:paraId="67694131" w14:textId="223D9068" w:rsidR="00D24AB3" w:rsidRDefault="00D24AB3" w:rsidP="007A646F">
      <w:pPr>
        <w:rPr>
          <w:b/>
          <w:bCs/>
        </w:rPr>
      </w:pPr>
    </w:p>
    <w:p w14:paraId="2ED9AB8A" w14:textId="77777777" w:rsidR="007A646F" w:rsidRDefault="007A646F" w:rsidP="007A646F">
      <w:pPr>
        <w:rPr>
          <w:b/>
          <w:bCs/>
        </w:rPr>
      </w:pPr>
    </w:p>
    <w:p w14:paraId="022E8905" w14:textId="77777777" w:rsidR="007A646F" w:rsidRDefault="007A646F" w:rsidP="00D24AB3">
      <w:pPr>
        <w:jc w:val="center"/>
        <w:rPr>
          <w:b/>
          <w:bCs/>
        </w:rPr>
      </w:pPr>
    </w:p>
    <w:p w14:paraId="399B4EC2" w14:textId="77777777" w:rsidR="007A646F" w:rsidRDefault="007A646F" w:rsidP="007A646F">
      <w:pPr>
        <w:jc w:val="center"/>
        <w:rPr>
          <w:b/>
          <w:bCs/>
          <w:sz w:val="28"/>
          <w:szCs w:val="28"/>
        </w:rPr>
      </w:pPr>
    </w:p>
    <w:p w14:paraId="7518E477" w14:textId="77777777" w:rsidR="007A646F" w:rsidRDefault="007A646F" w:rsidP="007A646F">
      <w:pPr>
        <w:jc w:val="center"/>
        <w:rPr>
          <w:b/>
          <w:bCs/>
          <w:sz w:val="28"/>
          <w:szCs w:val="28"/>
        </w:rPr>
      </w:pPr>
    </w:p>
    <w:p w14:paraId="2FC4EB66" w14:textId="0F48C0CB" w:rsidR="00D24AB3" w:rsidRDefault="00D24AB3" w:rsidP="007A646F">
      <w:pPr>
        <w:jc w:val="center"/>
        <w:rPr>
          <w:b/>
          <w:bCs/>
          <w:sz w:val="28"/>
          <w:szCs w:val="28"/>
        </w:rPr>
      </w:pPr>
      <w:r w:rsidRPr="00D24AB3">
        <w:rPr>
          <w:b/>
          <w:bCs/>
          <w:sz w:val="28"/>
          <w:szCs w:val="28"/>
        </w:rPr>
        <w:t>Analysis of the key financial indicators (KFI’s)</w:t>
      </w:r>
    </w:p>
    <w:p w14:paraId="571C5C0E" w14:textId="4538CAB7" w:rsidR="00D24AB3" w:rsidRDefault="00D24AB3" w:rsidP="00D24AB3">
      <w:pPr>
        <w:rPr>
          <w:b/>
          <w:bCs/>
          <w:sz w:val="28"/>
          <w:szCs w:val="28"/>
        </w:rPr>
      </w:pPr>
    </w:p>
    <w:p w14:paraId="72F0D9F9" w14:textId="77777777" w:rsidR="007A646F" w:rsidRDefault="007A646F" w:rsidP="00D24AB3">
      <w:pPr>
        <w:rPr>
          <w:b/>
          <w:bCs/>
        </w:rPr>
      </w:pPr>
    </w:p>
    <w:p w14:paraId="231060DF" w14:textId="57019653" w:rsidR="00D24AB3" w:rsidRDefault="00D24AB3" w:rsidP="00D24AB3">
      <w:pPr>
        <w:rPr>
          <w:b/>
          <w:bCs/>
        </w:rPr>
      </w:pPr>
      <w:r>
        <w:rPr>
          <w:b/>
          <w:bCs/>
        </w:rPr>
        <w:t>Total Yearly equity by company growth stage</w:t>
      </w:r>
    </w:p>
    <w:p w14:paraId="47D110C0" w14:textId="69E6C794" w:rsidR="00D24AB3" w:rsidRDefault="00D24AB3" w:rsidP="00D24AB3">
      <w:pPr>
        <w:rPr>
          <w:b/>
          <w:bCs/>
        </w:rPr>
      </w:pPr>
    </w:p>
    <w:p w14:paraId="52254D49" w14:textId="462A04E6" w:rsidR="00D24AB3" w:rsidRPr="00D24AB3" w:rsidRDefault="00D24AB3" w:rsidP="00D24AB3">
      <w:pPr>
        <w:rPr>
          <w:b/>
          <w:bCs/>
        </w:rPr>
      </w:pPr>
    </w:p>
    <w:p w14:paraId="776C7B5F" w14:textId="1DB48AC3" w:rsidR="00D24AB3" w:rsidRPr="00D24AB3" w:rsidRDefault="00D24AB3" w:rsidP="00D24AB3">
      <w:pPr>
        <w:rPr>
          <w:b/>
          <w:bCs/>
          <w:sz w:val="28"/>
          <w:szCs w:val="28"/>
        </w:rPr>
      </w:pPr>
    </w:p>
    <w:p w14:paraId="5B280F5F" w14:textId="335E7A41" w:rsidR="00D24AB3" w:rsidRDefault="007A646F" w:rsidP="00D24AB3">
      <w:pPr>
        <w:rPr>
          <w:b/>
          <w:bCs/>
        </w:rPr>
      </w:pPr>
      <w:r w:rsidRPr="00D24AB3">
        <w:rPr>
          <w:b/>
          <w:bCs/>
        </w:rPr>
        <w:drawing>
          <wp:anchor distT="0" distB="0" distL="114300" distR="114300" simplePos="0" relativeHeight="251663360" behindDoc="0" locked="0" layoutInCell="1" allowOverlap="1" wp14:anchorId="5584E144" wp14:editId="11B4C89F">
            <wp:simplePos x="0" y="0"/>
            <wp:positionH relativeFrom="column">
              <wp:posOffset>124691</wp:posOffset>
            </wp:positionH>
            <wp:positionV relativeFrom="paragraph">
              <wp:posOffset>230620</wp:posOffset>
            </wp:positionV>
            <wp:extent cx="5727700" cy="38887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7700" cy="3888740"/>
                    </a:xfrm>
                    <a:prstGeom prst="rect">
                      <a:avLst/>
                    </a:prstGeom>
                  </pic:spPr>
                </pic:pic>
              </a:graphicData>
            </a:graphic>
            <wp14:sizeRelH relativeFrom="page">
              <wp14:pctWidth>0</wp14:pctWidth>
            </wp14:sizeRelH>
            <wp14:sizeRelV relativeFrom="page">
              <wp14:pctHeight>0</wp14:pctHeight>
            </wp14:sizeRelV>
          </wp:anchor>
        </w:drawing>
      </w:r>
    </w:p>
    <w:p w14:paraId="670D5F36" w14:textId="77777777" w:rsidR="007A646F" w:rsidRDefault="007A646F" w:rsidP="007A646F"/>
    <w:p w14:paraId="0FB6366A" w14:textId="1CE70DE9" w:rsidR="007A646F" w:rsidRDefault="00A617E5" w:rsidP="007A646F">
      <w:r>
        <w:t xml:space="preserve">For established companies, the total yearly equity has been decreasing consistently but coupled with the increase in the turnover especially before 2021, this indicates increasing liabilities. </w:t>
      </w:r>
    </w:p>
    <w:p w14:paraId="2E6A16D9" w14:textId="2518225B" w:rsidR="00A617E5" w:rsidRDefault="007A646F" w:rsidP="007A646F">
      <w:r>
        <w:t>A similar trend has been occurring for the rest of the company growth types although it has not seen a drastic drop as the established companies. One could then conclude that smaller companies have seen decreasing assets but relatively stable liabilities.</w:t>
      </w:r>
    </w:p>
    <w:p w14:paraId="0ABD0F22" w14:textId="11FA37A3" w:rsidR="007A646F" w:rsidRDefault="007A646F" w:rsidP="007A646F"/>
    <w:p w14:paraId="4735291A" w14:textId="77777777" w:rsidR="007A646F" w:rsidRPr="00A617E5" w:rsidRDefault="007A646F" w:rsidP="007A646F"/>
    <w:p w14:paraId="51B03CDD" w14:textId="77777777" w:rsidR="00D24AB3" w:rsidRPr="00D24AB3" w:rsidRDefault="00D24AB3" w:rsidP="00D24AB3">
      <w:pPr>
        <w:rPr>
          <w:b/>
          <w:bCs/>
        </w:rPr>
      </w:pPr>
    </w:p>
    <w:p w14:paraId="0E9329B5" w14:textId="3EB3B7DB" w:rsidR="00B7741C" w:rsidRDefault="00B7741C" w:rsidP="00B7741C"/>
    <w:p w14:paraId="0FA121C1" w14:textId="77777777" w:rsidR="00B7741C" w:rsidRDefault="00B7741C" w:rsidP="00B7741C"/>
    <w:p w14:paraId="76DBB692" w14:textId="77777777" w:rsidR="00B7741C" w:rsidRPr="00B7741C" w:rsidRDefault="00B7741C" w:rsidP="00B7741C"/>
    <w:p w14:paraId="4787B477" w14:textId="77777777" w:rsidR="006D41B1" w:rsidRPr="006D41B1" w:rsidRDefault="006D41B1" w:rsidP="006D41B1">
      <w:pPr>
        <w:rPr>
          <w:sz w:val="28"/>
          <w:szCs w:val="28"/>
        </w:rPr>
      </w:pPr>
    </w:p>
    <w:p w14:paraId="2B096F68" w14:textId="77777777" w:rsidR="006D41B1" w:rsidRPr="006D41B1" w:rsidRDefault="006D41B1" w:rsidP="006D41B1">
      <w:pPr>
        <w:rPr>
          <w:sz w:val="28"/>
          <w:szCs w:val="28"/>
        </w:rPr>
      </w:pPr>
    </w:p>
    <w:p w14:paraId="3EB0068C" w14:textId="77777777" w:rsidR="006D41B1" w:rsidRPr="006D41B1" w:rsidRDefault="006D41B1" w:rsidP="006D41B1">
      <w:pPr>
        <w:rPr>
          <w:sz w:val="28"/>
          <w:szCs w:val="28"/>
        </w:rPr>
      </w:pPr>
    </w:p>
    <w:p w14:paraId="21F4058E" w14:textId="77777777" w:rsidR="006D41B1" w:rsidRPr="006D41B1" w:rsidRDefault="006D41B1" w:rsidP="007A646F">
      <w:pPr>
        <w:rPr>
          <w:sz w:val="28"/>
          <w:szCs w:val="28"/>
        </w:rPr>
      </w:pPr>
    </w:p>
    <w:p w14:paraId="10DD9D5B" w14:textId="4A66D166" w:rsidR="006D41B1" w:rsidRPr="00BD5EA6" w:rsidRDefault="00841218" w:rsidP="006D41B1">
      <w:pPr>
        <w:rPr>
          <w:b/>
          <w:bCs/>
        </w:rPr>
      </w:pPr>
      <w:r w:rsidRPr="007A646F">
        <w:rPr>
          <w:sz w:val="28"/>
          <w:szCs w:val="28"/>
        </w:rPr>
        <w:drawing>
          <wp:anchor distT="0" distB="0" distL="114300" distR="114300" simplePos="0" relativeHeight="251664384" behindDoc="0" locked="0" layoutInCell="1" allowOverlap="1" wp14:anchorId="5434F95D" wp14:editId="6547138B">
            <wp:simplePos x="0" y="0"/>
            <wp:positionH relativeFrom="column">
              <wp:posOffset>0</wp:posOffset>
            </wp:positionH>
            <wp:positionV relativeFrom="paragraph">
              <wp:posOffset>342727</wp:posOffset>
            </wp:positionV>
            <wp:extent cx="4051935" cy="31394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51935" cy="3139440"/>
                    </a:xfrm>
                    <a:prstGeom prst="rect">
                      <a:avLst/>
                    </a:prstGeom>
                  </pic:spPr>
                </pic:pic>
              </a:graphicData>
            </a:graphic>
            <wp14:sizeRelH relativeFrom="page">
              <wp14:pctWidth>0</wp14:pctWidth>
            </wp14:sizeRelH>
            <wp14:sizeRelV relativeFrom="page">
              <wp14:pctHeight>0</wp14:pctHeight>
            </wp14:sizeRelV>
          </wp:anchor>
        </w:drawing>
      </w:r>
      <w:r w:rsidR="007A646F">
        <w:rPr>
          <w:b/>
          <w:bCs/>
        </w:rPr>
        <w:t>Histogram of the Current Ratio</w:t>
      </w:r>
      <w:r w:rsidR="00BD5EA6">
        <w:rPr>
          <w:rStyle w:val="FootnoteReference"/>
          <w:b/>
          <w:bCs/>
        </w:rPr>
        <w:footnoteReference w:id="1"/>
      </w:r>
      <w:r w:rsidR="00BD5EA6">
        <w:rPr>
          <w:b/>
          <w:bCs/>
        </w:rPr>
        <w:t xml:space="preserve"> and the debt to equity ratio</w:t>
      </w:r>
      <w:r>
        <w:rPr>
          <w:b/>
          <w:bCs/>
        </w:rPr>
        <w:t xml:space="preserve"> in 2021</w:t>
      </w:r>
      <w:r w:rsidR="00BD5EA6">
        <w:rPr>
          <w:rStyle w:val="FootnoteReference"/>
          <w:b/>
          <w:bCs/>
        </w:rPr>
        <w:footnoteReference w:id="2"/>
      </w:r>
    </w:p>
    <w:p w14:paraId="5BE10B1C" w14:textId="4268F536" w:rsidR="006D41B1" w:rsidRPr="006D41B1" w:rsidRDefault="006D41B1" w:rsidP="006D41B1">
      <w:pPr>
        <w:rPr>
          <w:sz w:val="28"/>
          <w:szCs w:val="28"/>
        </w:rPr>
      </w:pPr>
    </w:p>
    <w:p w14:paraId="3A965D67" w14:textId="2DFA61BB" w:rsidR="00BD5EA6" w:rsidRDefault="00BD5EA6" w:rsidP="006D41B1"/>
    <w:p w14:paraId="779931A4" w14:textId="6BBA7367" w:rsidR="006D41B1" w:rsidRPr="00BD5EA6" w:rsidRDefault="00841218" w:rsidP="00BD5EA6">
      <w:r w:rsidRPr="00841218">
        <w:rPr>
          <w:sz w:val="28"/>
          <w:szCs w:val="28"/>
        </w:rPr>
        <w:drawing>
          <wp:anchor distT="0" distB="0" distL="114300" distR="114300" simplePos="0" relativeHeight="251665408" behindDoc="0" locked="0" layoutInCell="1" allowOverlap="1" wp14:anchorId="19D7A41C" wp14:editId="46689035">
            <wp:simplePos x="0" y="0"/>
            <wp:positionH relativeFrom="column">
              <wp:posOffset>-166370</wp:posOffset>
            </wp:positionH>
            <wp:positionV relativeFrom="paragraph">
              <wp:posOffset>1105535</wp:posOffset>
            </wp:positionV>
            <wp:extent cx="4343400" cy="3364865"/>
            <wp:effectExtent l="0" t="0" r="0"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43400" cy="3364865"/>
                    </a:xfrm>
                    <a:prstGeom prst="rect">
                      <a:avLst/>
                    </a:prstGeom>
                  </pic:spPr>
                </pic:pic>
              </a:graphicData>
            </a:graphic>
            <wp14:sizeRelH relativeFrom="page">
              <wp14:pctWidth>0</wp14:pctWidth>
            </wp14:sizeRelH>
            <wp14:sizeRelV relativeFrom="page">
              <wp14:pctHeight>0</wp14:pctHeight>
            </wp14:sizeRelV>
          </wp:anchor>
        </w:drawing>
      </w:r>
      <w:r w:rsidR="00BD5EA6">
        <w:t xml:space="preserve">From the histogram, almost 50% of companies have a current ratio of less than 1. Indicating the incapability of meeting it’s short term financial obligations whilst around 25% of companies have a current ratio greater than or equal to 3, showing that these companies are not utilising the most out of their assets. </w:t>
      </w:r>
      <w:r>
        <w:t>Generally, there are financial concerns within this sector in the short term.</w:t>
      </w:r>
    </w:p>
    <w:p w14:paraId="1ACCEDC5" w14:textId="48E1D8BD" w:rsidR="006D41B1" w:rsidRDefault="00841218" w:rsidP="006D41B1">
      <w:r>
        <w:t>Around 20% of companies have a debt to equity ratio which is negative implying liabilities exceed their assets. These companies are seen as high-risk companies to invest in and there is a potential of bankruptcy.</w:t>
      </w:r>
    </w:p>
    <w:p w14:paraId="78533C57" w14:textId="0552E8CF" w:rsidR="00841218" w:rsidRDefault="00841218" w:rsidP="00841218">
      <w:r>
        <w:t xml:space="preserve">However, with around 60% of companies having a debt/equity ratio between 0-2, the human health services </w:t>
      </w:r>
      <w:proofErr w:type="gramStart"/>
      <w:r>
        <w:t>is</w:t>
      </w:r>
      <w:proofErr w:type="gramEnd"/>
      <w:r>
        <w:t xml:space="preserve"> overall a risk averse sector.</w:t>
      </w:r>
    </w:p>
    <w:p w14:paraId="1BD7950C" w14:textId="77777777" w:rsidR="00841218" w:rsidRPr="00841218" w:rsidRDefault="00841218" w:rsidP="006D41B1"/>
    <w:p w14:paraId="6683A420" w14:textId="7178B880" w:rsidR="006D41B1" w:rsidRPr="006D41B1" w:rsidRDefault="006D41B1" w:rsidP="006D41B1">
      <w:pPr>
        <w:rPr>
          <w:sz w:val="28"/>
          <w:szCs w:val="28"/>
        </w:rPr>
      </w:pPr>
    </w:p>
    <w:p w14:paraId="18A079F7" w14:textId="1872B5C8" w:rsidR="006D41B1" w:rsidRPr="006D41B1" w:rsidRDefault="006D41B1" w:rsidP="006D41B1">
      <w:pPr>
        <w:rPr>
          <w:sz w:val="28"/>
          <w:szCs w:val="28"/>
        </w:rPr>
      </w:pPr>
    </w:p>
    <w:p w14:paraId="75CD05F7" w14:textId="17032CB0" w:rsidR="006D41B1" w:rsidRPr="006D41B1" w:rsidRDefault="006D41B1" w:rsidP="006D41B1">
      <w:pPr>
        <w:rPr>
          <w:sz w:val="28"/>
          <w:szCs w:val="28"/>
        </w:rPr>
      </w:pPr>
    </w:p>
    <w:p w14:paraId="7A3077EA" w14:textId="091546B9" w:rsidR="006D41B1" w:rsidRPr="006D41B1" w:rsidRDefault="006D41B1" w:rsidP="006D41B1">
      <w:pPr>
        <w:rPr>
          <w:sz w:val="28"/>
          <w:szCs w:val="28"/>
        </w:rPr>
      </w:pPr>
    </w:p>
    <w:p w14:paraId="209492F3" w14:textId="3BB5DCF9" w:rsidR="006D41B1" w:rsidRPr="006D41B1" w:rsidRDefault="006D41B1" w:rsidP="006D41B1">
      <w:pPr>
        <w:rPr>
          <w:sz w:val="28"/>
          <w:szCs w:val="28"/>
        </w:rPr>
      </w:pPr>
    </w:p>
    <w:p w14:paraId="45387EF2" w14:textId="65C386A2" w:rsidR="006D41B1" w:rsidRPr="006D41B1" w:rsidRDefault="006D41B1" w:rsidP="006D41B1">
      <w:pPr>
        <w:rPr>
          <w:sz w:val="28"/>
          <w:szCs w:val="28"/>
        </w:rPr>
      </w:pPr>
    </w:p>
    <w:sectPr w:rsidR="006D41B1" w:rsidRPr="006D41B1" w:rsidSect="007A646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76175" w14:textId="77777777" w:rsidR="00BD5EA6" w:rsidRDefault="00BD5EA6" w:rsidP="00BD5EA6">
      <w:r>
        <w:separator/>
      </w:r>
    </w:p>
  </w:endnote>
  <w:endnote w:type="continuationSeparator" w:id="0">
    <w:p w14:paraId="2E1581A6" w14:textId="77777777" w:rsidR="00BD5EA6" w:rsidRDefault="00BD5EA6" w:rsidP="00BD5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69E92" w14:textId="77777777" w:rsidR="00BD5EA6" w:rsidRDefault="00BD5EA6" w:rsidP="00BD5EA6">
      <w:r>
        <w:separator/>
      </w:r>
    </w:p>
  </w:footnote>
  <w:footnote w:type="continuationSeparator" w:id="0">
    <w:p w14:paraId="1CD9DD58" w14:textId="77777777" w:rsidR="00BD5EA6" w:rsidRDefault="00BD5EA6" w:rsidP="00BD5EA6">
      <w:r>
        <w:continuationSeparator/>
      </w:r>
    </w:p>
  </w:footnote>
  <w:footnote w:id="1">
    <w:p w14:paraId="73EB9875" w14:textId="2B545AE5" w:rsidR="00BD5EA6" w:rsidRDefault="00BD5EA6">
      <w:pPr>
        <w:pStyle w:val="FootnoteText"/>
      </w:pPr>
      <w:r>
        <w:rPr>
          <w:rStyle w:val="FootnoteReference"/>
        </w:rPr>
        <w:footnoteRef/>
      </w:r>
      <w:r>
        <w:t xml:space="preserve"> Current Ratio= Current assets/current liabilities</w:t>
      </w:r>
    </w:p>
  </w:footnote>
  <w:footnote w:id="2">
    <w:p w14:paraId="6EEA87B5" w14:textId="3974E5FA" w:rsidR="00BD5EA6" w:rsidRDefault="00BD5EA6">
      <w:pPr>
        <w:pStyle w:val="FootnoteText"/>
      </w:pPr>
      <w:r>
        <w:rPr>
          <w:rStyle w:val="FootnoteReference"/>
        </w:rPr>
        <w:footnoteRef/>
      </w:r>
      <w:r>
        <w:t xml:space="preserve">  Debt/equity ratio = </w:t>
      </w:r>
      <w:r w:rsidR="00841218">
        <w:t>Total liabilities/ Total equity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891538"/>
    <w:multiLevelType w:val="hybridMultilevel"/>
    <w:tmpl w:val="6BC84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335"/>
    <w:rsid w:val="00001E48"/>
    <w:rsid w:val="00081D5C"/>
    <w:rsid w:val="0019001D"/>
    <w:rsid w:val="00395335"/>
    <w:rsid w:val="004B19C9"/>
    <w:rsid w:val="005175F2"/>
    <w:rsid w:val="006D41B1"/>
    <w:rsid w:val="00710035"/>
    <w:rsid w:val="007621F4"/>
    <w:rsid w:val="0079440F"/>
    <w:rsid w:val="007A646F"/>
    <w:rsid w:val="00841218"/>
    <w:rsid w:val="00A617E5"/>
    <w:rsid w:val="00A71B9F"/>
    <w:rsid w:val="00B7741C"/>
    <w:rsid w:val="00BD5EA6"/>
    <w:rsid w:val="00C53FD7"/>
    <w:rsid w:val="00CF5D9A"/>
    <w:rsid w:val="00D24AB3"/>
    <w:rsid w:val="00D51B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6D4A0"/>
  <w15:chartTrackingRefBased/>
  <w15:docId w15:val="{9D744483-1A49-1B40-9B3C-C19A05893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001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6D41B1"/>
  </w:style>
  <w:style w:type="paragraph" w:styleId="ListParagraph">
    <w:name w:val="List Paragraph"/>
    <w:basedOn w:val="Normal"/>
    <w:uiPriority w:val="34"/>
    <w:qFormat/>
    <w:rsid w:val="00D24AB3"/>
    <w:pPr>
      <w:ind w:left="720"/>
      <w:contextualSpacing/>
    </w:pPr>
  </w:style>
  <w:style w:type="paragraph" w:styleId="FootnoteText">
    <w:name w:val="footnote text"/>
    <w:basedOn w:val="Normal"/>
    <w:link w:val="FootnoteTextChar"/>
    <w:uiPriority w:val="99"/>
    <w:semiHidden/>
    <w:unhideWhenUsed/>
    <w:rsid w:val="00BD5EA6"/>
    <w:rPr>
      <w:sz w:val="20"/>
      <w:szCs w:val="20"/>
    </w:rPr>
  </w:style>
  <w:style w:type="character" w:customStyle="1" w:styleId="FootnoteTextChar">
    <w:name w:val="Footnote Text Char"/>
    <w:basedOn w:val="DefaultParagraphFont"/>
    <w:link w:val="FootnoteText"/>
    <w:uiPriority w:val="99"/>
    <w:semiHidden/>
    <w:rsid w:val="00BD5EA6"/>
    <w:rPr>
      <w:sz w:val="20"/>
      <w:szCs w:val="20"/>
    </w:rPr>
  </w:style>
  <w:style w:type="character" w:styleId="FootnoteReference">
    <w:name w:val="footnote reference"/>
    <w:basedOn w:val="DefaultParagraphFont"/>
    <w:uiPriority w:val="99"/>
    <w:semiHidden/>
    <w:unhideWhenUsed/>
    <w:rsid w:val="00BD5E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92D94-770E-9840-B8CB-E67FF4EA1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7</Pages>
  <Words>625</Words>
  <Characters>3564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ansar lala</dc:creator>
  <cp:keywords/>
  <dc:description/>
  <cp:lastModifiedBy>ansar lala</cp:lastModifiedBy>
  <cp:revision>3</cp:revision>
  <dcterms:created xsi:type="dcterms:W3CDTF">2023-02-06T13:49:00Z</dcterms:created>
  <dcterms:modified xsi:type="dcterms:W3CDTF">2023-02-06T16:09:00Z</dcterms:modified>
</cp:coreProperties>
</file>