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Decide Once: Build Your Identity Kit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3</w:t>
      </w:r>
    </w:p>
    <w:p>
      <w:pPr>
        <w:pStyle w:val="Heading1"/>
        <w:spacing w:after="150" w:before="300"/>
      </w:pPr>
      <w:r>
        <w:t xml:space="preserve">Type</w:t>
      </w:r>
    </w:p>
    <w:p>
      <w:pPr>
        <w:spacing w:after="90"/>
      </w:pPr>
      <w:r>
        <w:rPr>
          <w:b/>
          <w:bCs/>
          <w:sz w:val="20"/>
          <w:szCs w:val="20"/>
        </w:rPr>
        <w:t xml:space="preserve">Heading font: </w:t>
      </w:r>
      <w:r>
        <w:rPr>
          <w:sz w:val="20"/>
          <w:szCs w:val="20"/>
        </w:rPr>
        <w:t xml:space="preserve">Space Grotesk</w:t>
      </w:r>
    </w:p>
    <w:p>
      <w:pPr>
        <w:spacing w:after="90"/>
      </w:pPr>
      <w:r>
        <w:rPr>
          <w:b/>
          <w:bCs/>
          <w:sz w:val="20"/>
          <w:szCs w:val="20"/>
        </w:rPr>
        <w:t xml:space="preserve">Body font: </w:t>
      </w:r>
      <w:r>
        <w:rPr>
          <w:sz w:val="20"/>
          <w:szCs w:val="20"/>
        </w:rPr>
        <w:t xml:space="preserve">Inter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Both are free (Google Fonts) and widely supported. Space Grotesk gives headlines a confident, technical edge; Inter keeps body copy clean and out of the way so the work stays the focus.</w:t>
      </w:r>
    </w:p>
    <w:p>
      <w:pPr>
        <w:pStyle w:val="Heading1"/>
        <w:spacing w:after="150" w:before="300"/>
      </w:pPr>
      <w:r>
        <w:t xml:space="preserve">Palette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00"/>
      </w:tblGrid>
      <w:tr>
        <w:trPr>
          <w:tblHeader/>
        </w:trPr>
        <w:tc>
          <w:tcPr>
            <w:tcW w:type="dxa" w:w="28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(near-white)</w:t>
            </w:r>
          </w:p>
        </w:tc>
        <w:tc>
          <w:tcPr>
            <w:tcW w:type="dxa" w:w="2000"/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#FAFAFA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(near-black)</w:t>
            </w:r>
          </w:p>
        </w:tc>
        <w:tc>
          <w:tcPr>
            <w:tcW w:type="dxa" w:w="2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#1A1A1A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and heading text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color</w:t>
            </w:r>
          </w:p>
        </w:tc>
        <w:tc>
          <w:tcPr>
            <w:tcW w:type="dxa" w:w="20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#1E3A5F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technical blue, used for headings and key UI elements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shd w:fill="2E7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#2E7D8C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Muted teal, used sparingly for links/CTAs only</w:t>
            </w:r>
          </w:p>
        </w:tc>
      </w:tr>
    </w:tbl>
    <w:p>
      <w:pPr>
        <w:pStyle w:val="Heading1"/>
        <w:spacing w:after="150" w:before="300"/>
      </w:pPr>
      <w:r>
        <w:t xml:space="preserve">Logo / Favicon</w:t>
      </w:r>
    </w:p>
    <w:p>
      <w:pPr>
        <w:jc w:val="center"/>
      </w:pPr>
      <w:r>
        <w:drawing>
          <wp:inline distT="0" distB="0" distL="0" distR="0">
            <wp:extent cx="4572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Wordmark in Space Grotesk (top) and "NS" monogram favicon (bottom)</w:t>
      </w:r>
    </w:p>
    <w:p>
      <w:pPr>
        <w:pStyle w:val="Heading1"/>
        <w:spacing w:after="150" w:before="300"/>
      </w:pPr>
      <w:r>
        <w:t xml:space="preserve">Style Note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Fonts: Space Grotesk (headings), Inter (body). Palette: background #FAFAFA, text #1A1A1A, main #1E3A5F, accent #2E7D8C.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Mood: calm, technical, and confident — the palette and type stay quiet so the work is the loudest thing on the page.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Added to the "ML Portfolio Build" Claude Project as a standing instruction, appended after the proof statement and voice card already set in earlier weeks.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d2d1fdcb19ce68153fa96ad4af8370fd6f19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2026-07-30T06:06:56.929Z</dcterms:created>
  <dcterms:modified xsi:type="dcterms:W3CDTF">2026-07-30T06:06:56.949Z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