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6"/>
          <w:szCs w:val="36"/>
        </w:rPr>
        <w:t xml:space="preserve">Crime Hotspot Prediction Project</w:t>
      </w:r>
    </w:p>
    <w:p>
      <w:pPr>
        <w:spacing w:after="80"/>
        <w:jc w:val="center"/>
      </w:pPr>
      <w:r>
        <w:rPr>
          <w:rFonts w:ascii="Arial" w:cs="Arial" w:eastAsia="Arial" w:hAnsi="Arial"/>
          <w:b/>
          <w:bCs/>
          <w:color w:val="2E5FA3"/>
          <w:sz w:val="28"/>
          <w:szCs w:val="28"/>
        </w:rPr>
        <w:t xml:space="preserve">Group Blog Entry</w:t>
      </w:r>
    </w:p>
    <w:p>
      <w:pPr>
        <w:spacing w:after="80"/>
        <w:jc w:val="center"/>
      </w:pPr>
      <w:r>
        <w:rPr>
          <w:rFonts w:ascii="Arial" w:cs="Arial" w:eastAsia="Arial" w:hAnsi="Arial"/>
          <w:color w:val="444444"/>
          <w:sz w:val="24"/>
          <w:szCs w:val="24"/>
        </w:rPr>
        <w:t xml:space="preserve">Ethical Toolkit Analysis: Responsible AI Design using FAST Principles</w:t>
      </w:r>
    </w:p>
    <w:p>
      <w:pPr>
        <w:pBdr>
          <w:bottom w:val="single" w:color="2E5FA3"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Blog entry type</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Group blog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Sprint / Phase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Sprint 5 / Final Development Phase</w:t>
            </w:r>
          </w:p>
        </w:tc>
      </w:tr>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Date</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March 2026</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Authors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team (Crime Prediction Group)</w:t>
            </w:r>
          </w:p>
        </w:tc>
      </w:tr>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Toolkit applied</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Alan Turing Institute FAST Principles (Fairness, Accountability, Sustainability, Transparency)</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Supplementary frameworks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UK GDPR, ICO AI and Data Protection Guidance, ACM Code of Ethics, UK AI Safety Act 2024</w:t>
            </w:r>
          </w:p>
        </w:tc>
      </w:tr>
    </w:tbl>
    <w:p>
      <w:r>
        <w:t xml:space="preserve"/>
      </w:r>
    </w:p>
    <w:p>
      <w:r>
        <w:t xml:space="preserve"/>
      </w:r>
    </w:p>
    <w:p>
      <w:pPr>
        <w:pStyle w:val="Heading1"/>
      </w:pPr>
      <w:r>
        <w:rPr>
          <w:rFonts w:ascii="Arial" w:cs="Arial" w:eastAsia="Arial" w:hAnsi="Arial"/>
        </w:rPr>
        <w:t xml:space="preserve">1. Why we carried out this ethical review</w:t>
      </w:r>
    </w:p>
    <w:p>
      <w:pPr>
        <w:spacing w:after="120"/>
      </w:pPr>
      <w:r>
        <w:rPr>
          <w:rFonts w:ascii="Arial" w:cs="Arial" w:eastAsia="Arial" w:hAnsi="Arial"/>
          <w:b w:val="false"/>
          <w:bCs w:val="false"/>
          <w:sz w:val="22"/>
          <w:szCs w:val="22"/>
        </w:rPr>
        <w:t xml:space="preserve">During Sprint 5, the team formally reviewed the ethical implications of the crime hotspot prediction system ahead of the client presentation. As our solution predicts future crime locations and is intended for use by West Yorkshire Police, we recognised that it sits within a high-stakes domain where AI misuse carries real social harm. We agreed as a group that a structured ethical framework was essential, not optional.</w:t>
      </w:r>
    </w:p>
    <w:p>
      <w:pPr>
        <w:spacing w:after="120"/>
      </w:pPr>
      <w:r>
        <w:rPr>
          <w:rFonts w:ascii="Arial" w:cs="Arial" w:eastAsia="Arial" w:hAnsi="Arial"/>
          <w:b w:val="false"/>
          <w:bCs w:val="false"/>
          <w:sz w:val="22"/>
          <w:szCs w:val="22"/>
        </w:rPr>
        <w:t xml:space="preserve">We selected the Alan Turing Institute's FAST Principles as our primary toolkit because it is the UK's leading responsible AI framework, directly applicable to public sector AI systems, and recognised by the ICO and government bodies. FAST stands for: Fairness, Accountability, Sustainability, and Transparency.</w:t>
      </w:r>
    </w:p>
    <w:p>
      <w:r>
        <w:t xml:space="preserve"/>
      </w:r>
    </w:p>
    <w:p>
      <w:pPr>
        <w:pStyle w:val="Heading1"/>
      </w:pPr>
      <w:r>
        <w:rPr>
          <w:rFonts w:ascii="Arial" w:cs="Arial" w:eastAsia="Arial" w:hAnsi="Arial"/>
        </w:rPr>
        <w:t xml:space="preserve">2. FAST ethical toolkit analysis</w:t>
      </w:r>
    </w:p>
    <w:p>
      <w:pPr>
        <w:spacing w:after="120"/>
      </w:pPr>
      <w:r>
        <w:rPr>
          <w:rFonts w:ascii="Arial" w:cs="Arial" w:eastAsia="Arial" w:hAnsi="Arial"/>
          <w:b w:val="false"/>
          <w:bCs w:val="false"/>
          <w:sz w:val="22"/>
          <w:szCs w:val="22"/>
        </w:rPr>
        <w:t xml:space="preserve">The table below maps each FAST principle to our specific project context, identifying risks and the mitigations we have built into the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auto" w:w="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auto" w:w="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means for this project</w:t>
            </w:r>
          </w:p>
        </w:tc>
        <w:tc>
          <w:tcPr>
            <w:tcW w:type="auto" w:w="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risk identified</w:t>
            </w:r>
          </w:p>
        </w:tc>
        <w:tc>
          <w:tcPr>
            <w:tcW w:type="auto" w:w="0"/>
            <w:gridSpan w:val="1"/>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Our mitigation</w:t>
            </w:r>
          </w:p>
        </w:tc>
      </w:tr>
      <w:tr>
        <w:tc>
          <w:tcPr>
            <w:tcW w:type="auto" w:w="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B5E00"/>
                <w:sz w:val="20"/>
                <w:szCs w:val="20"/>
              </w:rPr>
              <w:t xml:space="preserve">Fairness</w:t>
            </w:r>
          </w:p>
        </w:tc>
        <w:tc>
          <w:tcPr>
            <w:tcW w:type="auto" w:w="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000000"/>
                <w:sz w:val="20"/>
                <w:szCs w:val="20"/>
              </w:rPr>
              <w:t xml:space="preserve">West Yorkshire crime data reflects reporting patterns, not true crime levels. Over-policed areas appear as hotspots due to police presence, not higher underlying crime rates.</w:t>
            </w:r>
          </w:p>
        </w:tc>
        <w:tc>
          <w:tcPr>
            <w:tcW w:type="auto" w:w="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000000"/>
                <w:sz w:val="20"/>
                <w:szCs w:val="20"/>
              </w:rPr>
              <w:t xml:space="preserve">Model amplifies existing policing bias, creating feedback loops in deprived communities.</w:t>
            </w:r>
          </w:p>
        </w:tc>
        <w:tc>
          <w:tcPr>
            <w:tcW w:type="auto" w:w="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is advisory only. No automated enforcement. Officers retain all decision-making authority.</w:t>
            </w:r>
          </w:p>
        </w:tc>
      </w:tr>
      <w:tr>
        <w:tc>
          <w:tcPr>
            <w:tcW w:type="auto" w:w="0"/>
            <w:gridSpan w:val="1"/>
            <w:tcBorders>
              <w:top w:val="single" w:color="CCCCCC" w:sz="1"/>
              <w:left w:val="single" w:color="CCCCCC" w:sz="1"/>
              <w:bottom w:val="single" w:color="CCCCCC" w:sz="1"/>
              <w:right w:val="single" w:color="CCCCCC" w:sz="1"/>
            </w:tcBorders>
            <w:shd w:fill="D1ECF1" w:val="clear"/>
            <w:tcMar>
              <w:top w:type="dxa" w:w="80"/>
              <w:left w:type="dxa" w:w="140"/>
              <w:bottom w:type="dxa" w:w="80"/>
              <w:right w:type="dxa" w:w="140"/>
            </w:tcMar>
          </w:tcPr>
          <w:p>
            <w:r>
              <w:rPr>
                <w:rFonts w:ascii="Arial" w:cs="Arial" w:eastAsia="Arial" w:hAnsi="Arial"/>
                <w:b/>
                <w:bCs/>
                <w:color w:val="0D4F5C"/>
                <w:sz w:val="20"/>
                <w:szCs w:val="20"/>
              </w:rPr>
              <w:t xml:space="preserve">Accountability</w:t>
            </w:r>
          </w:p>
        </w:tc>
        <w:tc>
          <w:tcPr>
            <w:tcW w:type="auto" w:w="0"/>
            <w:gridSpan w:val="1"/>
            <w:tcBorders>
              <w:top w:val="single" w:color="CCCCCC" w:sz="1"/>
              <w:left w:val="single" w:color="CCCCCC" w:sz="1"/>
              <w:bottom w:val="single" w:color="CCCCCC" w:sz="1"/>
              <w:right w:val="single" w:color="CCCCCC" w:sz="1"/>
            </w:tcBorders>
            <w:shd w:fill="D1ECF1"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Clear ownership of the pipeline: development team is responsible for model honesty; West Yorkshire Police is responsible for deployment decisions.</w:t>
            </w:r>
          </w:p>
        </w:tc>
        <w:tc>
          <w:tcPr>
            <w:tcW w:type="auto" w:w="0"/>
            <w:gridSpan w:val="1"/>
            <w:tcBorders>
              <w:top w:val="single" w:color="CCCCCC" w:sz="1"/>
              <w:left w:val="single" w:color="CCCCCC" w:sz="1"/>
              <w:bottom w:val="single" w:color="CCCCCC" w:sz="1"/>
              <w:right w:val="single" w:color="CCCCCC" w:sz="1"/>
            </w:tcBorders>
            <w:shd w:fill="D1ECF1" w:val="clear"/>
            <w:tcMar>
              <w:top w:type="dxa" w:w="80"/>
              <w:left w:type="dxa" w:w="140"/>
              <w:bottom w:type="dxa" w:w="80"/>
              <w:right w:type="dxa" w:w="140"/>
            </w:tcMar>
          </w:tcPr>
          <w:p>
            <w:r>
              <w:rPr>
                <w:rFonts w:ascii="Arial" w:cs="Arial" w:eastAsia="Arial" w:hAnsi="Arial"/>
                <w:b w:val="false"/>
                <w:bCs w:val="false"/>
                <w:color w:val="000000"/>
                <w:sz w:val="20"/>
                <w:szCs w:val="20"/>
              </w:rPr>
              <w:t xml:space="preserve">Lack of audit trail could lead to untraceable decisions if model errors occur.</w:t>
            </w:r>
          </w:p>
        </w:tc>
        <w:tc>
          <w:tcPr>
            <w:tcW w:type="auto" w:w="0"/>
            <w:gridSpan w:val="1"/>
            <w:tcBorders>
              <w:top w:val="single" w:color="CCCCCC" w:sz="1"/>
              <w:left w:val="single" w:color="CCCCCC" w:sz="1"/>
              <w:bottom w:val="single" w:color="CCCCCC" w:sz="1"/>
              <w:right w:val="single" w:color="CCCCCC" w:sz="1"/>
            </w:tcBorders>
            <w:shd w:fill="D1ECF1" w:val="clear"/>
            <w:tcMar>
              <w:top w:type="dxa" w:w="80"/>
              <w:left w:type="dxa" w:w="140"/>
              <w:bottom w:type="dxa" w:w="80"/>
              <w:right w:type="dxa" w:w="140"/>
            </w:tcMar>
          </w:tcPr>
          <w:p>
            <w:r>
              <w:rPr>
                <w:rFonts w:ascii="Arial" w:cs="Arial" w:eastAsia="Arial" w:hAnsi="Arial"/>
                <w:b w:val="false"/>
                <w:bCs w:val="false"/>
                <w:color w:val="000000"/>
                <w:sz w:val="20"/>
                <w:szCs w:val="20"/>
              </w:rPr>
              <w:t xml:space="preserve">Walk-forward validation logs stored as wf_*.csv. Full pipeline open-sourced on GitHub. All model choices documented.</w:t>
            </w:r>
          </w:p>
        </w:tc>
      </w:tr>
      <w:tr>
        <w:tc>
          <w:tcPr>
            <w:tcW w:type="auto" w:w="0"/>
            <w:gridSpan w:val="1"/>
            <w:tcBorders>
              <w:top w:val="single" w:color="CCCCCC" w:sz="1"/>
              <w:left w:val="single" w:color="CCCCCC" w:sz="1"/>
              <w:bottom w:val="single" w:color="CCCCCC" w:sz="1"/>
              <w:right w:val="single" w:color="CCCCCC" w:sz="1"/>
            </w:tcBorders>
            <w:shd w:fill="E8D5F5" w:val="clear"/>
            <w:tcMar>
              <w:top w:type="dxa" w:w="80"/>
              <w:left w:type="dxa" w:w="140"/>
              <w:bottom w:type="dxa" w:w="80"/>
              <w:right w:type="dxa" w:w="140"/>
            </w:tcMar>
          </w:tcPr>
          <w:p>
            <w:r>
              <w:rPr>
                <w:rFonts w:ascii="Arial" w:cs="Arial" w:eastAsia="Arial" w:hAnsi="Arial"/>
                <w:b/>
                <w:bCs/>
                <w:color w:val="4A1870"/>
                <w:sz w:val="20"/>
                <w:szCs w:val="20"/>
              </w:rPr>
              <w:t xml:space="preserve">Sustainability</w:t>
            </w:r>
          </w:p>
        </w:tc>
        <w:tc>
          <w:tcPr>
            <w:tcW w:type="auto" w:w="0"/>
            <w:gridSpan w:val="1"/>
            <w:tcBorders>
              <w:top w:val="single" w:color="CCCCCC" w:sz="1"/>
              <w:left w:val="single" w:color="CCCCCC" w:sz="1"/>
              <w:bottom w:val="single" w:color="CCCCCC" w:sz="1"/>
              <w:right w:val="single" w:color="CCCCCC" w:sz="1"/>
            </w:tcBorders>
            <w:shd w:fill="E8D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Long-term social and technical sustainability of the system must be planned for, including model drift and societal feedback effects.</w:t>
            </w:r>
          </w:p>
        </w:tc>
        <w:tc>
          <w:tcPr>
            <w:tcW w:type="auto" w:w="0"/>
            <w:gridSpan w:val="1"/>
            <w:tcBorders>
              <w:top w:val="single" w:color="CCCCCC" w:sz="1"/>
              <w:left w:val="single" w:color="CCCCCC" w:sz="1"/>
              <w:bottom w:val="single" w:color="CCCCCC" w:sz="1"/>
              <w:right w:val="single" w:color="CCCCCC" w:sz="1"/>
            </w:tcBorders>
            <w:shd w:fill="E8D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Self-fulfilling prophecy: more patrols in predicted areas increase recorded crime there, feeding back into training data.</w:t>
            </w:r>
          </w:p>
        </w:tc>
        <w:tc>
          <w:tcPr>
            <w:tcW w:type="auto" w:w="0"/>
            <w:gridSpan w:val="1"/>
            <w:tcBorders>
              <w:top w:val="single" w:color="CCCCCC" w:sz="1"/>
              <w:left w:val="single" w:color="CCCCCC" w:sz="1"/>
              <w:bottom w:val="single" w:color="CCCCCC" w:sz="1"/>
              <w:right w:val="single" w:color="CCCCCC" w:sz="1"/>
            </w:tcBorders>
            <w:shd w:fill="E8D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Monthly rolling model refresh planned. ONS socio-economic indicators to be added as structural context features in future work.</w:t>
            </w:r>
          </w:p>
        </w:tc>
      </w:tr>
      <w:tr>
        <w:tc>
          <w:tcPr>
            <w:tcW w:type="auto" w:w="0"/>
            <w:gridSpan w:val="1"/>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r>
              <w:rPr>
                <w:rFonts w:ascii="Arial" w:cs="Arial" w:eastAsia="Arial" w:hAnsi="Arial"/>
                <w:b/>
                <w:bCs/>
                <w:color w:val="6B1520"/>
                <w:sz w:val="20"/>
                <w:szCs w:val="20"/>
              </w:rPr>
              <w:t xml:space="preserve">Transparency</w:t>
            </w:r>
          </w:p>
        </w:tc>
        <w:tc>
          <w:tcPr>
            <w:tcW w:type="auto" w:w="0"/>
            <w:gridSpan w:val="1"/>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r>
              <w:rPr>
                <w:rFonts w:ascii="Arial" w:cs="Arial" w:eastAsia="Arial" w:hAnsi="Arial"/>
                <w:b w:val="false"/>
                <w:bCs w:val="false"/>
                <w:color w:val="000000"/>
                <w:sz w:val="20"/>
                <w:szCs w:val="20"/>
              </w:rPr>
              <w:t xml:space="preserve">Stakeholders must be able to understand why a cell is flagged as a hotspot. Black-box predictions are not acceptable in a policing context.</w:t>
            </w:r>
          </w:p>
        </w:tc>
        <w:tc>
          <w:tcPr>
            <w:tcW w:type="auto" w:w="0"/>
            <w:gridSpan w:val="1"/>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r>
              <w:rPr>
                <w:rFonts w:ascii="Arial" w:cs="Arial" w:eastAsia="Arial" w:hAnsi="Arial"/>
                <w:b w:val="false"/>
                <w:bCs w:val="false"/>
                <w:color w:val="000000"/>
                <w:sz w:val="20"/>
                <w:szCs w:val="20"/>
              </w:rPr>
              <w:t xml:space="preserve">CNN-GRU model is less interpretable than Ridge regression, limiting stakeholder trust and legal defensibility.</w:t>
            </w:r>
          </w:p>
        </w:tc>
        <w:tc>
          <w:tcPr>
            <w:tcW w:type="auto" w:w="0"/>
            <w:gridSpan w:val="1"/>
            <w:tcBorders>
              <w:top w:val="single" w:color="CCCCCC" w:sz="1"/>
              <w:left w:val="single" w:color="CCCCCC" w:sz="1"/>
              <w:bottom w:val="single" w:color="CCCCCC" w:sz="1"/>
              <w:right w:val="single" w:color="CCCCCC" w:sz="1"/>
            </w:tcBorders>
            <w:shd w:fill="F8D7DA" w:val="clear"/>
            <w:tcMar>
              <w:top w:type="dxa" w:w="80"/>
              <w:left w:type="dxa" w:w="140"/>
              <w:bottom w:type="dxa" w:w="80"/>
              <w:right w:type="dxa" w:w="140"/>
            </w:tcMar>
          </w:tcPr>
          <w:p>
            <w:r>
              <w:rPr>
                <w:rFonts w:ascii="Arial" w:cs="Arial" w:eastAsia="Arial" w:hAnsi="Arial"/>
                <w:b w:val="false"/>
                <w:bCs w:val="false"/>
                <w:color w:val="000000"/>
                <w:sz w:val="20"/>
                <w:szCs w:val="20"/>
              </w:rPr>
              <w:t xml:space="preserve">Ridge regression is the primary operational model (interpretable coefficients). CNN-GRU reserved for benchmark comparison. Map displays scores, not binary verdicts.</w:t>
            </w:r>
          </w:p>
        </w:tc>
      </w:tr>
    </w:tbl>
    <w:p>
      <w:r>
        <w:t xml:space="preserve"/>
      </w:r>
    </w:p>
    <w:p>
      <w:r>
        <w:t xml:space="preserve"/>
      </w:r>
    </w:p>
    <w:p>
      <w:pPr>
        <w:pStyle w:val="Heading1"/>
      </w:pPr>
      <w:r>
        <w:rPr>
          <w:rFonts w:ascii="Arial" w:cs="Arial" w:eastAsia="Arial" w:hAnsi="Arial"/>
        </w:rPr>
        <w:t xml:space="preserve">3. Professional, legal, environmental and HCI considerations</w:t>
      </w:r>
    </w:p>
    <w:p>
      <w:pPr>
        <w:spacing w:after="120"/>
      </w:pPr>
      <w:r>
        <w:rPr>
          <w:rFonts w:ascii="Arial" w:cs="Arial" w:eastAsia="Arial" w:hAnsi="Arial"/>
          <w:b w:val="false"/>
          <w:bCs w:val="false"/>
          <w:sz w:val="22"/>
          <w:szCs w:val="22"/>
        </w:rPr>
        <w:t xml:space="preserve">Beyond the FAST principles, the team analysed the broader non-technical issues that affect how the system should be designed and deployed.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auto" w:w="0"/>
            <w:gridSpan w:val="1"/>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Area</w:t>
            </w:r>
          </w:p>
        </w:tc>
        <w:tc>
          <w:tcPr>
            <w:tcW w:type="auto" w:w="0"/>
            <w:gridSpan w:val="1"/>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Issue / Consideration</w:t>
            </w:r>
          </w:p>
        </w:tc>
        <w:tc>
          <w:tcPr>
            <w:tcW w:type="auto" w:w="0"/>
            <w:gridSpan w:val="1"/>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How the project addresses it</w:t>
            </w:r>
          </w:p>
        </w:tc>
      </w:tr>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Legal</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UK GDPR Article 22 prohibits solely automated decisions that significantly affect individuals.</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is advisory only. A human officer must be in the loop for all deployment decisions.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Legal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ICO AI and Data Protection Guidance requires AI used in law enforcement to be explainable and auditable.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Ridge regression coefficients are directly interpretable. Walk-forward results logged for auditability.</w:t>
            </w:r>
          </w:p>
        </w:tc>
      </w:tr>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Professional</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ACM Code of Ethics (principle 1.2) requires engineers to avoid harm and be honest about system capabilities and limitations.</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README and map UI explicitly state: system is a risk signal, not a certainty. Limitations documented.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Environmental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Large deep learning models carry significant energy and carbon costs, especially at inference time.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Ridge regression is the primary production model. CNN-GRU used for evaluation only, not continuous inference.</w:t>
            </w:r>
          </w:p>
        </w:tc>
      </w:tr>
      <w:tr>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bCs/>
                <w:color w:val="000000"/>
                <w:sz w:val="20"/>
                <w:szCs w:val="20"/>
              </w:rPr>
              <w:t xml:space="preserve">HCI</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A poorly designed UI could cause officers to over-rely on predictions or misinterpret hotspot rankings.</w:t>
            </w:r>
          </w:p>
        </w:tc>
        <w:tc>
          <w:tcPr>
            <w:tcW w:type="auto" w:w="0"/>
            <w:gridSpan w:val="1"/>
            <w:tcBorders>
              <w:top w:val="single" w:color="CCCCCC" w:sz="1"/>
              <w:left w:val="single" w:color="CCCCCC" w:sz="1"/>
              <w:bottom w:val="single" w:color="CCCCCC" w:sz="1"/>
              <w:right w:val="single" w:color="CCCCCC" w:sz="1"/>
            </w:tcBorders>
            <w:shd w:fill="EAF0FB" w:val="clear"/>
            <w:tcMar>
              <w:top w:type="dxa" w:w="80"/>
              <w:left w:type="dxa" w:w="140"/>
              <w:bottom w:type="dxa" w:w="80"/>
              <w:right w:type="dxa" w:w="140"/>
            </w:tcMar>
          </w:tcPr>
          <w:p>
            <w:r>
              <w:rPr>
                <w:rFonts w:ascii="Arial" w:cs="Arial" w:eastAsia="Arial" w:hAnsi="Arial"/>
                <w:b w:val="false"/>
                <w:bCs w:val="false"/>
                <w:color w:val="000000"/>
                <w:sz w:val="20"/>
                <w:szCs w:val="20"/>
              </w:rPr>
              <w:t xml:space="preserve">Leaflet map uses adjustable top-% threshold, visible confidence signals, and point-query tool. Officers control what they query.</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Privacy</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Aggregated location data could still identify individuals if grid cells are too small.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500m grid size used. No individual-level PII is stored or displayed at any point in the pipeline.</w:t>
            </w:r>
          </w:p>
        </w:tc>
      </w:tr>
    </w:tbl>
    <w:p>
      <w:r>
        <w:t xml:space="preserve"/>
      </w:r>
    </w:p>
    <w:p>
      <w:r>
        <w:t xml:space="preserve"/>
      </w:r>
    </w:p>
    <w:p>
      <w:pPr>
        <w:pStyle w:val="Heading1"/>
      </w:pPr>
      <w:r>
        <w:rPr>
          <w:rFonts w:ascii="Arial" w:cs="Arial" w:eastAsia="Arial" w:hAnsi="Arial"/>
        </w:rPr>
        <w:t xml:space="preserve">4. Group decisions made as a result of this review</w:t>
      </w:r>
    </w:p>
    <w:p>
      <w:pPr>
        <w:spacing w:after="120"/>
      </w:pPr>
      <w:r>
        <w:rPr>
          <w:rFonts w:ascii="Arial" w:cs="Arial" w:eastAsia="Arial" w:hAnsi="Arial"/>
          <w:b w:val="false"/>
          <w:bCs w:val="false"/>
          <w:sz w:val="22"/>
          <w:szCs w:val="22"/>
        </w:rPr>
        <w:t xml:space="preserve">Following the ethics review, the team agreed on the following design commitments:</w:t>
      </w:r>
    </w:p>
    <w:p>
      <w:r>
        <w:t xml:space="preserve"/>
      </w:r>
    </w:p>
    <w:p>
      <w:pPr>
        <w:pStyle w:val="ListParagraph"/>
        <w:numPr>
          <w:ilvl w:val="0"/>
          <w:numId w:val="2"/>
        </w:numPr>
        <w:spacing w:after="80"/>
      </w:pPr>
      <w:r>
        <w:rPr>
          <w:rFonts w:ascii="Arial" w:cs="Arial" w:eastAsia="Arial" w:hAnsi="Arial"/>
          <w:sz w:val="20"/>
          <w:szCs w:val="20"/>
        </w:rPr>
        <w:t xml:space="preserve">The system is framed as decision-support only throughout all documentation, the README, and the live map UI. No language implying automated enforcement is used anywhere.</w:t>
      </w:r>
    </w:p>
    <w:p>
      <w:pPr>
        <w:pStyle w:val="ListParagraph"/>
        <w:numPr>
          <w:ilvl w:val="0"/>
          <w:numId w:val="2"/>
        </w:numPr>
        <w:spacing w:after="80"/>
      </w:pPr>
      <w:r>
        <w:rPr>
          <w:rFonts w:ascii="Arial" w:cs="Arial" w:eastAsia="Arial" w:hAnsi="Arial"/>
          <w:sz w:val="20"/>
          <w:szCs w:val="20"/>
        </w:rPr>
        <w:t xml:space="preserve">Ridge regression is designated as the primary operational model because its coefficients are directly interpretable. CNN-GRU results are included as a benchmark comparison only.</w:t>
      </w:r>
    </w:p>
    <w:p>
      <w:pPr>
        <w:pStyle w:val="ListParagraph"/>
        <w:numPr>
          <w:ilvl w:val="0"/>
          <w:numId w:val="2"/>
        </w:numPr>
        <w:spacing w:after="80"/>
      </w:pPr>
      <w:r>
        <w:rPr>
          <w:rFonts w:ascii="Arial" w:cs="Arial" w:eastAsia="Arial" w:hAnsi="Arial"/>
          <w:sz w:val="20"/>
          <w:szCs w:val="20"/>
        </w:rPr>
        <w:t xml:space="preserve">The map displays hotspot probability scores, not binary 'crime will happen here' outputs, to preserve nuance and reduce over-reliance.</w:t>
      </w:r>
    </w:p>
    <w:p>
      <w:pPr>
        <w:pStyle w:val="ListParagraph"/>
        <w:numPr>
          <w:ilvl w:val="0"/>
          <w:numId w:val="2"/>
        </w:numPr>
        <w:spacing w:after="80"/>
      </w:pPr>
      <w:r>
        <w:rPr>
          <w:rFonts w:ascii="Arial" w:cs="Arial" w:eastAsia="Arial" w:hAnsi="Arial"/>
          <w:sz w:val="20"/>
          <w:szCs w:val="20"/>
        </w:rPr>
        <w:t xml:space="preserve">The 500m grid cell size was confirmed as appropriate for privacy preservation. No individual-level data appears at any stage of the pipeline.</w:t>
      </w:r>
    </w:p>
    <w:p>
      <w:pPr>
        <w:pStyle w:val="ListParagraph"/>
        <w:numPr>
          <w:ilvl w:val="0"/>
          <w:numId w:val="2"/>
        </w:numPr>
        <w:spacing w:after="80"/>
      </w:pPr>
      <w:r>
        <w:rPr>
          <w:rFonts w:ascii="Arial" w:cs="Arial" w:eastAsia="Arial" w:hAnsi="Arial"/>
          <w:sz w:val="20"/>
          <w:szCs w:val="20"/>
        </w:rPr>
        <w:t xml:space="preserve">Walk-forward validation logs are retained and the full pipeline is open-source on GitHub to support auditability.</w:t>
      </w:r>
    </w:p>
    <w:p>
      <w:pPr>
        <w:pStyle w:val="ListParagraph"/>
        <w:numPr>
          <w:ilvl w:val="0"/>
          <w:numId w:val="2"/>
        </w:numPr>
        <w:spacing w:after="80"/>
      </w:pPr>
      <w:r>
        <w:rPr>
          <w:rFonts w:ascii="Arial" w:cs="Arial" w:eastAsia="Arial" w:hAnsi="Arial"/>
          <w:sz w:val="20"/>
          <w:szCs w:val="20"/>
        </w:rPr>
        <w:t xml:space="preserve">A monthly rolling model refresh is planned post-deployment to prevent model drift and reduce feedback loop effects.</w:t>
      </w:r>
    </w:p>
    <w:p>
      <w:pPr>
        <w:pStyle w:val="ListParagraph"/>
        <w:numPr>
          <w:ilvl w:val="0"/>
          <w:numId w:val="2"/>
        </w:numPr>
        <w:spacing w:after="80"/>
      </w:pPr>
      <w:r>
        <w:rPr>
          <w:rFonts w:ascii="Arial" w:cs="Arial" w:eastAsia="Arial" w:hAnsi="Arial"/>
          <w:sz w:val="20"/>
          <w:szCs w:val="20"/>
        </w:rPr>
        <w:t xml:space="preserve">The README explicitly states: 'Hotspot prediction is a risk signal, not certainty' and 'This is a forecasting and ranking system, not crime prediction of individuals'.</w:t>
      </w:r>
    </w:p>
    <w:p>
      <w:r>
        <w:t xml:space="preserve"/>
      </w:r>
    </w:p>
    <w:p>
      <w:r>
        <w:t xml:space="preserve"/>
      </w:r>
    </w:p>
    <w:p>
      <w:pPr>
        <w:pStyle w:val="Heading1"/>
      </w:pPr>
      <w:r>
        <w:rPr>
          <w:rFonts w:ascii="Arial" w:cs="Arial" w:eastAsia="Arial" w:hAnsi="Arial"/>
        </w:rPr>
        <w:t xml:space="preserve">5. Reflection on the process</w:t>
      </w:r>
    </w:p>
    <w:p>
      <w:pPr>
        <w:spacing w:after="120"/>
      </w:pPr>
      <w:r>
        <w:rPr>
          <w:rFonts w:ascii="Arial" w:cs="Arial" w:eastAsia="Arial" w:hAnsi="Arial"/>
          <w:b w:val="false"/>
          <w:bCs w:val="false"/>
          <w:sz w:val="22"/>
          <w:szCs w:val="22"/>
        </w:rPr>
        <w:t xml:space="preserve">Carrying out a formal ethics review as a group was valuable for several reasons. It forced us to think beyond model accuracy and consider how the system would actually be used in the real world. We identified the reporting bias risk early enough to address it in the UI design rather than as an afterthought.</w:t>
      </w:r>
    </w:p>
    <w:p>
      <w:pPr>
        <w:spacing w:after="120"/>
      </w:pPr>
      <w:r>
        <w:rPr>
          <w:rFonts w:ascii="Arial" w:cs="Arial" w:eastAsia="Arial" w:hAnsi="Arial"/>
          <w:b w:val="false"/>
          <w:bCs w:val="false"/>
          <w:sz w:val="22"/>
          <w:szCs w:val="22"/>
        </w:rPr>
        <w:t xml:space="preserve">The FAST framework was particularly useful because it is structured, concise, and directly relevant to the UK public sector context. It gave us a common language to discuss ethical trade-offs across different team roles, from the data engineers to the front-end developer.</w:t>
      </w:r>
    </w:p>
    <w:p>
      <w:pPr>
        <w:spacing w:after="120"/>
      </w:pPr>
      <w:r>
        <w:rPr>
          <w:rFonts w:ascii="Arial" w:cs="Arial" w:eastAsia="Arial" w:hAnsi="Arial"/>
          <w:b w:val="false"/>
          <w:bCs w:val="false"/>
          <w:sz w:val="22"/>
          <w:szCs w:val="22"/>
        </w:rPr>
        <w:t xml:space="preserve">One challenge we encountered was balancing the accuracy advantage of CNN-GRU (MAE 2.041 vs Ridge MAE 2.970) against the transparency requirement that FAST places on high-stakes AI systems. We resolved this by retaining both models but being explicit about their different roles in the system, which we believe is the most defensible approach for a policing application.</w:t>
      </w:r>
    </w:p>
    <w:p>
      <w:r>
        <w:t xml:space="preserve"/>
      </w:r>
    </w:p>
    <w:p>
      <w:r>
        <w:t xml:space="preserve"/>
      </w:r>
    </w:p>
    <w:p>
      <w:pPr>
        <w:pStyle w:val="Heading1"/>
      </w:pPr>
      <w:r>
        <w:rPr>
          <w:rFonts w:ascii="Arial" w:cs="Arial" w:eastAsia="Arial" w:hAnsi="Arial"/>
        </w:rPr>
        <w:t xml:space="preserve">6. Next steps</w:t>
      </w:r>
    </w:p>
    <w:p>
      <w:pPr>
        <w:pStyle w:val="ListParagraph"/>
        <w:numPr>
          <w:ilvl w:val="0"/>
          <w:numId w:val="2"/>
        </w:numPr>
        <w:spacing w:after="80"/>
      </w:pPr>
      <w:r>
        <w:rPr>
          <w:rFonts w:ascii="Arial" w:cs="Arial" w:eastAsia="Arial" w:hAnsi="Arial"/>
          <w:sz w:val="20"/>
          <w:szCs w:val="20"/>
        </w:rPr>
        <w:t xml:space="preserve">Present the ethical considerations slide in the client presentation on 6th April 2026.</w:t>
      </w:r>
    </w:p>
    <w:p>
      <w:pPr>
        <w:pStyle w:val="ListParagraph"/>
        <w:numPr>
          <w:ilvl w:val="0"/>
          <w:numId w:val="2"/>
        </w:numPr>
        <w:spacing w:after="80"/>
      </w:pPr>
      <w:r>
        <w:rPr>
          <w:rFonts w:ascii="Arial" w:cs="Arial" w:eastAsia="Arial" w:hAnsi="Arial"/>
          <w:sz w:val="20"/>
          <w:szCs w:val="20"/>
        </w:rPr>
        <w:t xml:space="preserve">Include the FAST analysis table in the final group submission documentation.</w:t>
      </w:r>
    </w:p>
    <w:p>
      <w:pPr>
        <w:pStyle w:val="ListParagraph"/>
        <w:numPr>
          <w:ilvl w:val="0"/>
          <w:numId w:val="2"/>
        </w:numPr>
        <w:spacing w:after="80"/>
      </w:pPr>
      <w:r>
        <w:rPr>
          <w:rFonts w:ascii="Arial" w:cs="Arial" w:eastAsia="Arial" w:hAnsi="Arial"/>
          <w:sz w:val="20"/>
          <w:szCs w:val="20"/>
        </w:rPr>
        <w:t xml:space="preserve">Explore the addition of ONS deprivation indicators as an independent structural feature to reduce the model's reliance on historically biased crime counts.</w:t>
      </w:r>
    </w:p>
    <w:p>
      <w:pPr>
        <w:pStyle w:val="ListParagraph"/>
        <w:numPr>
          <w:ilvl w:val="0"/>
          <w:numId w:val="2"/>
        </w:numPr>
        <w:spacing w:after="80"/>
      </w:pPr>
      <w:r>
        <w:rPr>
          <w:rFonts w:ascii="Arial" w:cs="Arial" w:eastAsia="Arial" w:hAnsi="Arial"/>
          <w:sz w:val="20"/>
          <w:szCs w:val="20"/>
        </w:rPr>
        <w:t xml:space="preserve">Document the limitations section of the Swagger API docs to reflect the responsible use framing agreed in this review.</w:t>
      </w:r>
    </w:p>
    <w:p>
      <w:r>
        <w:t xml:space="preserve"/>
      </w:r>
    </w:p>
    <w:p>
      <w:pPr>
        <w:pBdr>
          <w:bottom w:val="single" w:color="2E5FA3" w:sz="6" w:space="1"/>
        </w:pBdr>
      </w:pPr>
      <w:r>
        <w:t xml:space="preserve"/>
      </w:r>
    </w:p>
    <w:p>
      <w:r>
        <w:t xml:space="preserve"/>
      </w:r>
    </w:p>
    <w:p>
      <w:pPr>
        <w:jc w:val="center"/>
      </w:pPr>
      <w:r>
        <w:rPr>
          <w:rFonts w:ascii="Arial" w:cs="Arial" w:eastAsia="Arial" w:hAnsi="Arial"/>
          <w:color w:val="888888"/>
          <w:sz w:val="18"/>
          <w:szCs w:val="18"/>
        </w:rPr>
        <w:t xml:space="preserve">COS5031 Crime Prediction Group Blog | Alan Turing Institute FAST Principles | West Yorkshire Police DSP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2026-03-27T22:51:45.730Z</dcterms:created>
  <dcterms:modified xsi:type="dcterms:W3CDTF">2026-03-27T22:51:45.731Z</dcterms:modified>
</cp:coreProperties>
</file>

<file path=docProps/custom.xml><?xml version="1.0" encoding="utf-8"?>
<Properties xmlns="http://schemas.openxmlformats.org/officeDocument/2006/custom-properties" xmlns:vt="http://schemas.openxmlformats.org/officeDocument/2006/docPropsVTypes"/>
</file>