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EDA Insights</w:t>
      </w:r>
    </w:p>
    <w:p>
      <w:pPr>
        <w:pStyle w:val="Heading2"/>
        <w:jc w:val="center"/>
      </w:pPr>
      <w:r>
        <w:t>Telecom Customer Churn Prediction</w:t>
      </w:r>
    </w:p>
    <w:p>
      <w:r>
        <w:t>This document summarizes the key findings from the Exploratory Data Analysis (EDA) performed on the Telecom Customer Churn dataset.</w:t>
      </w:r>
    </w:p>
    <w:p>
      <w:pPr>
        <w:pStyle w:val="Heading2"/>
      </w:pPr>
      <w:r>
        <w:t>1. Which contract type churns most?</w:t>
      </w:r>
    </w:p>
    <w:p>
      <w:pPr>
        <w:pStyle w:val="Heading3"/>
      </w:pPr>
      <w:r>
        <w:t>Observation</w:t>
      </w:r>
    </w:p>
    <w:p>
      <w:r>
        <w:t>Customers with Month-to-Month contracts exhibit the highest churn rate. One-Year and Two-Year contracts have much lower churn.</w:t>
      </w:r>
    </w:p>
    <w:p>
      <w:pPr>
        <w:pStyle w:val="Heading3"/>
      </w:pPr>
      <w:r>
        <w:t>Business Insight</w:t>
      </w:r>
    </w:p>
    <w:p>
      <w:r>
        <w:t>Flexible contracts make switching easier.</w:t>
      </w:r>
    </w:p>
    <w:p>
      <w:pPr>
        <w:pStyle w:val="Heading3"/>
      </w:pPr>
      <w:r>
        <w:t>Recommendation</w:t>
      </w:r>
    </w:p>
    <w:p>
      <w:r>
        <w:t>Encourage migration to long-term contracts through discounts and loyalty programs.</w:t>
      </w:r>
    </w:p>
    <w:p>
      <w:pPr>
        <w:pStyle w:val="Heading2"/>
      </w:pPr>
      <w:r>
        <w:t>2. Which tenure group churns most?</w:t>
      </w:r>
    </w:p>
    <w:p>
      <w:pPr>
        <w:pStyle w:val="Heading3"/>
      </w:pPr>
      <w:r>
        <w:t>Observation</w:t>
      </w:r>
    </w:p>
    <w:p>
      <w:r>
        <w:t>Customers with 0–12 months of tenure have the highest churn rate.</w:t>
      </w:r>
    </w:p>
    <w:p>
      <w:pPr>
        <w:pStyle w:val="Heading3"/>
      </w:pPr>
      <w:r>
        <w:t>Business Insight</w:t>
      </w:r>
    </w:p>
    <w:p>
      <w:r>
        <w:t>The first year is the most critical period for retention.</w:t>
      </w:r>
    </w:p>
    <w:p>
      <w:pPr>
        <w:pStyle w:val="Heading3"/>
      </w:pPr>
      <w:r>
        <w:t>Recommendation</w:t>
      </w:r>
    </w:p>
    <w:p>
      <w:r>
        <w:t>Strengthen onboarding and engagement for new customers.</w:t>
      </w:r>
    </w:p>
    <w:p>
      <w:pPr>
        <w:pStyle w:val="Heading2"/>
      </w:pPr>
      <w:r>
        <w:t>3. Which payment method churns most?</w:t>
      </w:r>
    </w:p>
    <w:p>
      <w:pPr>
        <w:pStyle w:val="Heading3"/>
      </w:pPr>
      <w:r>
        <w:t>Observation</w:t>
      </w:r>
    </w:p>
    <w:p>
      <w:r>
        <w:t>Electronic Check customers have the highest churn rate.</w:t>
      </w:r>
    </w:p>
    <w:p>
      <w:pPr>
        <w:pStyle w:val="Heading3"/>
      </w:pPr>
      <w:r>
        <w:t>Business Insight</w:t>
      </w:r>
    </w:p>
    <w:p>
      <w:r>
        <w:t>Automatic payment methods are associated with better retention.</w:t>
      </w:r>
    </w:p>
    <w:p>
      <w:pPr>
        <w:pStyle w:val="Heading3"/>
      </w:pPr>
      <w:r>
        <w:t>Recommendation</w:t>
      </w:r>
    </w:p>
    <w:p>
      <w:r>
        <w:t>Promote automatic payments using incentives.</w:t>
      </w:r>
    </w:p>
    <w:p>
      <w:pPr>
        <w:pStyle w:val="Heading2"/>
      </w:pPr>
      <w:r>
        <w:t>4. Which customer segment is high risk?</w:t>
      </w:r>
    </w:p>
    <w:p>
      <w:pPr>
        <w:pStyle w:val="Heading3"/>
      </w:pPr>
      <w:r>
        <w:t>Observation</w:t>
      </w:r>
    </w:p>
    <w:p>
      <w:r>
        <w:t>High-risk customers generally have Month-to-Month contracts, tenure below 12 months, Electronic Check payments, Fiber Optic service, high monthly charges, and no Online Security or Tech Support.</w:t>
      </w:r>
    </w:p>
    <w:p>
      <w:pPr>
        <w:pStyle w:val="Heading3"/>
      </w:pPr>
      <w:r>
        <w:t>Business Insight</w:t>
      </w:r>
    </w:p>
    <w:p>
      <w:r>
        <w:t>These characteristics frequently occur among churned customers.</w:t>
      </w:r>
    </w:p>
    <w:p>
      <w:pPr>
        <w:pStyle w:val="Heading3"/>
      </w:pPr>
      <w:r>
        <w:t>Recommendation</w:t>
      </w:r>
    </w:p>
    <w:p>
      <w:r>
        <w:t>Target these customers with proactive retention campaigns and bundled services.</w:t>
      </w:r>
    </w:p>
    <w:p>
      <w:pPr>
        <w:pStyle w:val="Heading2"/>
      </w:pPr>
      <w:r>
        <w:t>High-Risk Customer Profile</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High-Risk Value</w:t>
            </w:r>
          </w:p>
        </w:tc>
      </w:tr>
      <w:tr>
        <w:tc>
          <w:tcPr>
            <w:tcW w:type="dxa" w:w="4320"/>
          </w:tcPr>
          <w:p>
            <w:r>
              <w:t>Contract</w:t>
            </w:r>
          </w:p>
        </w:tc>
        <w:tc>
          <w:tcPr>
            <w:tcW w:type="dxa" w:w="4320"/>
          </w:tcPr>
          <w:p>
            <w:r>
              <w:t>Month-to-Month</w:t>
            </w:r>
          </w:p>
        </w:tc>
      </w:tr>
      <w:tr>
        <w:tc>
          <w:tcPr>
            <w:tcW w:type="dxa" w:w="4320"/>
          </w:tcPr>
          <w:p>
            <w:r>
              <w:t>Tenure</w:t>
            </w:r>
          </w:p>
        </w:tc>
        <w:tc>
          <w:tcPr>
            <w:tcW w:type="dxa" w:w="4320"/>
          </w:tcPr>
          <w:p>
            <w:r>
              <w:t>0–12 Months</w:t>
            </w:r>
          </w:p>
        </w:tc>
      </w:tr>
      <w:tr>
        <w:tc>
          <w:tcPr>
            <w:tcW w:type="dxa" w:w="4320"/>
          </w:tcPr>
          <w:p>
            <w:r>
              <w:t>Payment Method</w:t>
            </w:r>
          </w:p>
        </w:tc>
        <w:tc>
          <w:tcPr>
            <w:tcW w:type="dxa" w:w="4320"/>
          </w:tcPr>
          <w:p>
            <w:r>
              <w:t>Electronic Check</w:t>
            </w:r>
          </w:p>
        </w:tc>
      </w:tr>
      <w:tr>
        <w:tc>
          <w:tcPr>
            <w:tcW w:type="dxa" w:w="4320"/>
          </w:tcPr>
          <w:p>
            <w:r>
              <w:t>Internet Service</w:t>
            </w:r>
          </w:p>
        </w:tc>
        <w:tc>
          <w:tcPr>
            <w:tcW w:type="dxa" w:w="4320"/>
          </w:tcPr>
          <w:p>
            <w:r>
              <w:t>Fiber Optic</w:t>
            </w:r>
          </w:p>
        </w:tc>
      </w:tr>
      <w:tr>
        <w:tc>
          <w:tcPr>
            <w:tcW w:type="dxa" w:w="4320"/>
          </w:tcPr>
          <w:p>
            <w:r>
              <w:t>Monthly Charges</w:t>
            </w:r>
          </w:p>
        </w:tc>
        <w:tc>
          <w:tcPr>
            <w:tcW w:type="dxa" w:w="4320"/>
          </w:tcPr>
          <w:p>
            <w:r>
              <w:t>High</w:t>
            </w:r>
          </w:p>
        </w:tc>
      </w:tr>
      <w:tr>
        <w:tc>
          <w:tcPr>
            <w:tcW w:type="dxa" w:w="4320"/>
          </w:tcPr>
          <w:p>
            <w:r>
              <w:t>Online Security</w:t>
            </w:r>
          </w:p>
        </w:tc>
        <w:tc>
          <w:tcPr>
            <w:tcW w:type="dxa" w:w="4320"/>
          </w:tcPr>
          <w:p>
            <w:r>
              <w:t>No</w:t>
            </w:r>
          </w:p>
        </w:tc>
      </w:tr>
      <w:tr>
        <w:tc>
          <w:tcPr>
            <w:tcW w:type="dxa" w:w="4320"/>
          </w:tcPr>
          <w:p>
            <w:r>
              <w:t>Technical Support</w:t>
            </w:r>
          </w:p>
        </w:tc>
        <w:tc>
          <w:tcPr>
            <w:tcW w:type="dxa" w:w="4320"/>
          </w:tcPr>
          <w:p>
            <w:r>
              <w:t>No</w:t>
            </w:r>
          </w:p>
        </w:tc>
      </w:tr>
    </w:tbl>
    <w:p>
      <w:pPr>
        <w:pStyle w:val="Heading2"/>
      </w:pPr>
      <w:r>
        <w:t>Overall EDA Summary</w:t>
      </w:r>
    </w:p>
    <w:p>
      <w:r>
        <w:t>EDA shows that churn is strongly influenced by contract type, tenure, payment method, monthly charges, and service usage. These insights were used to guide feature engineering and machine learning model development.</w:t>
      </w:r>
    </w:p>
    <w:p>
      <w:pPr>
        <w:pStyle w:val="Heading2"/>
      </w:pPr>
      <w:r>
        <w:t>Business Recommendations</w:t>
      </w:r>
    </w:p>
    <w:p>
      <w:pPr>
        <w:pStyle w:val="ListBullet"/>
      </w:pPr>
      <w:r>
        <w:t>Promote long-term contracts.</w:t>
      </w:r>
    </w:p>
    <w:p>
      <w:pPr>
        <w:pStyle w:val="ListBullet"/>
      </w:pPr>
      <w:r>
        <w:t>Focus retention campaigns on new customers.</w:t>
      </w:r>
    </w:p>
    <w:p>
      <w:pPr>
        <w:pStyle w:val="ListBullet"/>
      </w:pPr>
      <w:r>
        <w:t>Encourage automatic payment methods.</w:t>
      </w:r>
    </w:p>
    <w:p>
      <w:pPr>
        <w:pStyle w:val="ListBullet"/>
      </w:pPr>
      <w:r>
        <w:t>Bundle Online Security and Technical Support.</w:t>
      </w:r>
    </w:p>
    <w:p>
      <w:pPr>
        <w:pStyle w:val="ListBullet"/>
      </w:pPr>
      <w:r>
        <w:t>Prioritize high-risk customers for proactive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