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jc w:val="center"/>
      </w:pPr>
      <w:r>
        <w:t xml:space="preserve">Suministros y Servicios Logísticos Andina SAS</w:t>
      </w:r>
    </w:p>
    <w:p>
      <w:pPr>
        <w:spacing w:after="240"/>
        <w:jc w:val="center"/>
      </w:pPr>
      <w:r>
        <w:rPr>
          <w:b/>
          <w:bCs/>
          <w:sz w:val="26"/>
          <w:szCs w:val="26"/>
        </w:rPr>
        <w:t xml:space="preserve">Propuesta técnica — Proceso de contratación SECOP II</w:t>
      </w:r>
    </w:p>
    <w:p>
      <w:pPr>
        <w:spacing w:after="100"/>
      </w:pPr>
      <w:r>
        <w:t xml:space="preserve">Proceso: CO1.REQ.11146502</w:t>
      </w:r>
    </w:p>
    <w:p>
      <w:pPr>
        <w:spacing w:after="100"/>
      </w:pPr>
      <w:r>
        <w:t xml:space="preserve">Entidad convocante: MUNICIPIO DE PACHO</w:t>
      </w:r>
    </w:p>
    <w:p>
      <w:pPr>
        <w:spacing w:after="100"/>
      </w:pPr>
      <w:r>
        <w:t xml:space="preserve">Objeto: PRESTACION DE SERVICIOS DE APOYO</w:t>
      </w:r>
    </w:p>
    <w:p>
      <w:pPr>
        <w:spacing w:after="100"/>
      </w:pPr>
      <w:r>
        <w:t xml:space="preserve">Valor base de referencia: $9.680.000 COP (el precio de la propuesta lo define la empresa)</w:t>
      </w:r>
    </w:p>
    <w:p>
      <w:pPr>
        <w:spacing w:after="100"/>
      </w:pPr>
      <w:r>
        <w:t xml:space="preserve">Lugar: Pacho / Cundinamarca  ·  Duración publicada: 88 día(s)</w:t>
      </w:r>
    </w:p>
    <w:p>
      <w:pPr>
        <w:spacing w:after="100"/>
      </w:pPr>
      <w:r>
        <w:t xml:space="preserve">Versión del borrador: v7  ·  Generada: 5/10/2026, 1:27:21 a. m.</w:t>
      </w:r>
    </w:p>
    <w:p>
      <w:pPr>
        <w:spacing w:after="100"/>
      </w:pPr>
      <w:r>
        <w:t xml:space="preserve">Generada por: SECOP Radar — Modo Agente Proyectista (sin datos inventados; marcadores [POR CONFIRMAR] por diligenciar)</w:t>
      </w:r>
    </w:p>
    <w:p>
      <w:pPr>
        <w:pStyle w:val="Heading1"/>
        <w:spacing w:after="160" w:before="320"/>
      </w:pPr>
      <w:r>
        <w:t xml:space="preserve">1. Presentación</w:t>
      </w:r>
    </w:p>
    <w:p>
      <w:pPr>
        <w:spacing w:after="100"/>
      </w:pPr>
      <w:r>
        <w:t xml:space="preserve">Suministros y Servicios Logísticos Andina SAS, identificada con NIT 901.452.789-1, con presencia en Bogotá Distrito Capital de Bogotá, presenta su propuesta para el proceso CO1.REQ.11146502 convocado por MUNICIPIO DE PACHO, cuyo objeto es: PRESTACION DE SERVICIOS DE APOYO.</w:t>
      </w:r>
    </w:p>
    <w:p>
      <w:pPr>
        <w:pStyle w:val="Heading1"/>
        <w:spacing w:after="160" w:before="320"/>
      </w:pPr>
      <w:r>
        <w:t xml:space="preserve">2. Entendimiento del objeto</w:t>
      </w:r>
    </w:p>
    <w:p>
      <w:pPr>
        <w:spacing w:after="100"/>
      </w:pPr>
      <w:r>
        <w:t xml:space="preserve">El proceso exige: PRESTACIÓN DE SERVICIOS DE APOYO A LA GESTIÓN PARA EL SEGUIMIENTO, CONTROL Y ORGANIZACIÓN DEL ACOPIO DE MATERIAL DE RECEBO DESTINADO AL MANTENIMIENTO Y MEJORAMIENTO DE LA RED VIAL RURAL DEL MUNICIPIO DE PACHO, CUNDINAMARCA, EN LOS DIFERENTES NÚCLEOS DE ACOPIO ESTABLECIDOS POR LA ADMINISTRACIÓN MUNICIPAL. La duración publicada es de 88 día(s). El lugar de ejecución corresponde a Pacho / Cundinamarca.</w:t>
      </w:r>
    </w:p>
    <w:p>
      <w:pPr>
        <w:pStyle w:val="Heading1"/>
        <w:spacing w:after="160" w:before="320"/>
      </w:pPr>
      <w:r>
        <w:t xml:space="preserve">3. Propuesta técnica</w:t>
      </w:r>
    </w:p>
    <w:p>
      <w:pPr>
        <w:spacing w:after="100"/>
      </w:pPr>
      <w:r>
        <w:t xml:space="preserve">La empresa cuenta con los siguientes productos/servicios registrados pertinentes:</w:t>
      </w:r>
    </w:p>
    <w:p>
      <w:pPr>
        <w:pStyle w:val="ListParagraph"/>
        <w:numPr>
          <w:ilvl w:val="0"/>
          <w:numId w:val="1"/>
        </w:numPr>
        <w:spacing w:after="60"/>
      </w:pPr>
      <w:r>
        <w:t xml:space="preserve">Aseo y limpieza de instalaciones</w:t>
      </w:r>
    </w:p>
    <w:p>
      <w:pPr>
        <w:pStyle w:val="ListParagraph"/>
        <w:numPr>
          <w:ilvl w:val="0"/>
          <w:numId w:val="1"/>
        </w:numPr>
        <w:spacing w:after="60"/>
      </w:pPr>
      <w:r>
        <w:t xml:space="preserve">Dotación y suministros de oficina</w:t>
      </w:r>
    </w:p>
    <w:p>
      <w:pPr>
        <w:pStyle w:val="ListParagraph"/>
        <w:numPr>
          <w:ilvl w:val="0"/>
          <w:numId w:val="1"/>
        </w:numPr>
        <w:spacing w:after="60"/>
      </w:pPr>
      <w:r>
        <w:t xml:space="preserve">Logística y distribución ligera</w:t>
      </w:r>
    </w:p>
    <w:p>
      <w:pPr>
        <w:spacing w:after="100"/>
      </w:pPr>
      <w:r>
        <w:t xml:space="preserve">Experiencia registrada relevante:</w:t>
      </w:r>
    </w:p>
    <w:p>
      <w:pPr>
        <w:pStyle w:val="ListParagraph"/>
        <w:numPr>
          <w:ilvl w:val="0"/>
          <w:numId w:val="1"/>
        </w:numPr>
        <w:spacing w:after="60"/>
      </w:pPr>
      <w:r>
        <w:t xml:space="preserve">Servicio de aseo institucional sede administrativa — Institución Educativa Distrital — Bogotá (2024)</w:t>
      </w:r>
    </w:p>
    <w:p>
      <w:pPr>
        <w:pStyle w:val="ListParagraph"/>
        <w:numPr>
          <w:ilvl w:val="0"/>
          <w:numId w:val="1"/>
        </w:numPr>
        <w:spacing w:after="60"/>
      </w:pPr>
      <w:r>
        <w:t xml:space="preserve">Suministro de papelería y útiles de oficina — Congregación Religiosa — Bogotá (2023)</w:t>
      </w:r>
    </w:p>
    <w:p>
      <w:pPr>
        <w:spacing w:after="100"/>
      </w:pPr>
      <w:r>
        <w:t xml:space="preserve">[POR CONFIRMAR: detalle metodológico y asignación de equipo de trabajo]</w:t>
      </w:r>
    </w:p>
    <w:p>
      <w:pPr>
        <w:pStyle w:val="Heading1"/>
        <w:spacing w:after="160" w:before="320"/>
      </w:pPr>
      <w:r>
        <w:t xml:space="preserve">4. Estructura económica (plantilla)</w:t>
      </w:r>
    </w:p>
    <w:p>
      <w:pPr>
        <w:spacing w:after="100"/>
      </w:pPr>
      <w:r>
        <w:t xml:space="preserve">⚠ PLANTILLA PARA DILIGENCIAR — el agente no define precios:</w:t>
      </w:r>
    </w:p>
    <w:p>
      <w:pPr>
        <w:spacing w:after="100"/>
      </w:pPr>
      <w:r>
        <w:t xml:space="preserve">| Concepto | Valor |</w:t>
      </w:r>
    </w:p>
    <w:p>
      <w:pPr>
        <w:spacing w:after="100"/>
      </w:pPr>
      <w:r>
        <w:t xml:space="preserve">|---|---|</w:t>
      </w:r>
    </w:p>
    <w:p>
      <w:pPr>
        <w:spacing w:after="100"/>
      </w:pPr>
      <w:r>
        <w:t xml:space="preserve">| Valor directo | [POR CONFIRMAR] |</w:t>
      </w:r>
    </w:p>
    <w:p>
      <w:pPr>
        <w:spacing w:after="100"/>
      </w:pPr>
      <w:r>
        <w:t xml:space="preserve">| Administración | [POR CONFIRMAR] |</w:t>
      </w:r>
    </w:p>
    <w:p>
      <w:pPr>
        <w:spacing w:after="100"/>
      </w:pPr>
      <w:r>
        <w:t xml:space="preserve">| Imprevistos | [POR CONFIRMAR] |</w:t>
      </w:r>
    </w:p>
    <w:p>
      <w:pPr>
        <w:spacing w:after="100"/>
      </w:pPr>
      <w:r>
        <w:t xml:space="preserve">| IVA | [POR CONFIRMAR] |</w:t>
      </w:r>
    </w:p>
    <w:p>
      <w:pPr>
        <w:spacing w:after="100"/>
      </w:pPr>
      <w:r>
        <w:t xml:space="preserve">| TOTAL | [POR CONFIRMAR] |</w:t>
      </w:r>
    </w:p>
    <w:p>
      <w:pPr>
        <w:spacing w:after="100"/>
      </w:pPr>
      <w:r>
        <w:t xml:space="preserve">Presupuesto oficial de referencia: $9.680.000 COP.</w:t>
      </w:r>
    </w:p>
    <w:p>
      <w:pPr>
        <w:pStyle w:val="Heading1"/>
        <w:spacing w:after="160" w:before="320"/>
      </w:pPr>
      <w:r>
        <w:t xml:space="preserve">5. Anexos requeridos</w:t>
      </w:r>
    </w:p>
    <w:p>
      <w:pPr>
        <w:pStyle w:val="ListParagraph"/>
        <w:numPr>
          <w:ilvl w:val="0"/>
          <w:numId w:val="1"/>
        </w:numPr>
        <w:spacing w:after="60"/>
      </w:pPr>
      <w:r>
        <w:t xml:space="preserve">[NO_CUMPLE] Experiencia en servicios de logística y acopio de materiales → La empresa no tiene experiencia registrada en servicios de acopio de materiales para construcción o mantenimiento vial</w:t>
      </w:r>
    </w:p>
    <w:p>
      <w:pPr>
        <w:pStyle w:val="ListParagraph"/>
        <w:numPr>
          <w:ilvl w:val="0"/>
          <w:numId w:val="1"/>
        </w:numPr>
        <w:spacing w:after="60"/>
      </w:pPr>
      <w:r>
        <w:t xml:space="preserve">[PENDIENTE] Experiencia en servicios de gestión y organización de proyectos → Verificar si alguna experiencia previa podría considerarse como gestión de proyectos</w:t>
      </w:r>
    </w:p>
    <w:p>
      <w:pPr>
        <w:pStyle w:val="ListParagraph"/>
        <w:numPr>
          <w:ilvl w:val="0"/>
          <w:numId w:val="1"/>
        </w:numPr>
        <w:spacing w:after="60"/>
      </w:pPr>
      <w:r>
        <w:t xml:space="preserve">[PENDIENTE] Estados financieros certificados vigentes → Presentar estados financieros certificados actualizados</w:t>
      </w:r>
    </w:p>
    <w:p>
      <w:pPr>
        <w:pStyle w:val="ListParagraph"/>
        <w:numPr>
          <w:ilvl w:val="0"/>
          <w:numId w:val="1"/>
        </w:numPr>
        <w:spacing w:after="60"/>
      </w:pPr>
      <w:r>
        <w:t xml:space="preserve">[PENDIENTE] Certificación bancaria vigente → Presentar certificación bancaria actualizada</w:t>
      </w:r>
    </w:p>
    <w:p>
      <w:pPr>
        <w:pStyle w:val="ListParagraph"/>
        <w:numPr>
          <w:ilvl w:val="0"/>
          <w:numId w:val="1"/>
        </w:numPr>
        <w:spacing w:after="60"/>
      </w:pPr>
      <w:r>
        <w:t xml:space="preserve">[NO_CUMPLE] Póliza de responsabilidad civil vigente → Renovar la póliza de responsabilidad civil</w:t>
      </w:r>
    </w:p>
    <w:p>
      <w:pPr>
        <w:pStyle w:val="ListParagraph"/>
        <w:numPr>
          <w:ilvl w:val="0"/>
          <w:numId w:val="1"/>
        </w:numPr>
        <w:spacing w:after="60"/>
      </w:pPr>
      <w:r>
        <w:t xml:space="preserve">[PENDIENTE] Capacidad operativa para ejecutar el contrato en el municipio de Pacho → Confirmar cobertura operativa específica en Pacho, Cundinamarca</w:t>
      </w:r>
    </w:p>
    <w:p>
      <w:pPr>
        <w:pStyle w:val="ListParagraph"/>
        <w:numPr>
          <w:ilvl w:val="0"/>
          <w:numId w:val="1"/>
        </w:numPr>
        <w:spacing w:after="60"/>
      </w:pPr>
      <w:r>
        <w:t xml:space="preserve">[PENDIENTE] Disponibilidad de recursos humanos para el contrato → Confirmar disponibilidad del equipo para este contrato específico</w:t>
      </w:r>
    </w:p>
    <w:p>
      <w:pPr>
        <w:pStyle w:val="Heading1"/>
        <w:spacing w:after="160" w:before="320"/>
      </w:pPr>
      <w:r>
        <w:t xml:space="preserve">6. Marco lógico (plantilla)</w:t>
      </w:r>
    </w:p>
    <w:p>
      <w:pPr>
        <w:spacing w:after="100"/>
      </w:pPr>
      <w:r>
        <w:t xml:space="preserve">⚠ PLANTILLA GENERADA SIN MOTOR IA — el árbol de problemas y la matriz deben validarse con el pliego.</w:t>
      </w:r>
    </w:p>
    <w:p>
      <w:pPr>
        <w:spacing w:after="100"/>
      </w:pPr>
      <w:r>
        <w:t xml:space="preserve">Problema central identificado en el objeto: PRESTACION DE SERVICIOS DE APOYO</w:t>
      </w:r>
    </w:p>
    <w:p>
      <w:pPr>
        <w:spacing w:after="100"/>
      </w:pPr>
      <w:r>
        <w:t xml:space="preserve">Árbol de problemas: [POR CONFIRMAR: causas y efectos con la comunidad/entidad]</w:t>
      </w:r>
    </w:p>
    <w:p>
      <w:pPr>
        <w:spacing w:after="100"/>
      </w:pPr>
      <w:r>
        <w:t xml:space="preserve">Árbol de objetivos: [POR CONFIRMAR: objetivos espejo de las causas]</w:t>
      </w:r>
    </w:p>
    <w:p>
      <w:pPr>
        <w:spacing w:after="100"/>
      </w:pPr>
      <w:r>
        <w:t xml:space="preserve">Matriz de marco lógico: completa la fila de cada nivel (Fin, Propósito, Componentes, Actividades) con indicadores verificables, medios de verificación y supuestos, coherentes con el plan de trabajo.</w:t>
      </w:r>
    </w:p>
    <w:p>
      <w:pPr>
        <w:pStyle w:val="Heading1"/>
        <w:spacing w:after="160" w:before="320"/>
      </w:pPr>
      <w:r>
        <w:t xml:space="preserve">Anexo — Matriz de Marco Lógico</w:t>
      </w:r>
    </w:p>
    <w:p>
      <w:pPr>
        <w:spacing w:after="100"/>
      </w:pPr>
      <w:r>
        <w:t xml:space="preserve">Problema central: PRESTACION DE SERVICIOS DE APOYO</w:t>
      </w:r>
    </w:p>
    <w:p>
      <w:pPr>
        <w:spacing w:after="100"/>
      </w:pPr>
      <w:r>
        <w:t xml:space="preserve">Causas: [POR CONFIRMAR: causas del problema]</w:t>
      </w:r>
    </w:p>
    <w:p>
      <w:pPr>
        <w:spacing w:after="100"/>
      </w:pPr>
      <w:r>
        <w:t xml:space="preserve">Efectos: [POR CONFIRMAR: efectos del problema]</w:t>
      </w:r>
    </w:p>
    <w:p>
      <w:pPr>
        <w:spacing w:after="100"/>
      </w:pPr>
      <w:r>
        <w:t xml:space="preserve">Objetivo central: Atender el objeto del proceso CO1.REQ.11146502: PRESTACION DE SERVICIOS DE APOYO</w:t>
      </w:r>
    </w:p>
    <w:p>
      <w:pPr>
        <w:spacing w:after="80"/>
      </w:pPr>
    </w:p>
    <w:tbl>
      <w:tblPr>
        <w:tblW w:type="pct" w:w="5000"/>
        <w:tblBorders>
          <w:top w:val="single" w:color="9CA3AF" w:sz="1"/>
          <w:left w:val="single" w:color="9CA3AF" w:sz="1"/>
          <w:bottom w:val="single" w:color="9CA3AF" w:sz="1"/>
          <w:right w:val="single" w:color="9CA3AF" w:sz="1"/>
          <w:insideH w:val="single" w:color="9CA3AF" w:sz="1"/>
          <w:insideV w:val="single" w:color="9CA3AF" w:sz="1"/>
        </w:tblBorders>
      </w:tblPr>
      <w:tblGrid>
        <w:gridCol w:w="1083"/>
        <w:gridCol w:w="2166"/>
        <w:gridCol w:w="2166"/>
        <w:gridCol w:w="1805"/>
        <w:gridCol w:w="1805"/>
      </w:tblGrid>
      <w:tr>
        <w:trPr>
          <w:tblHeader/>
        </w:trPr>
        <w:tc>
          <w:tcPr>
            <w:tcW w:type="pct" w:w="600"/>
            <w:shd w:fill="E7F0EA" w:color="auto" w:val="clear"/>
          </w:tcPr>
          <w:p>
            <w:r>
              <w:rPr>
                <w:b/>
                <w:bCs/>
                <w:sz w:val="20"/>
                <w:szCs w:val="20"/>
              </w:rPr>
              <w:t xml:space="preserve">Nivel</w:t>
            </w:r>
          </w:p>
        </w:tc>
        <w:tc>
          <w:tcPr>
            <w:tcW w:type="pct" w:w="1200"/>
            <w:shd w:fill="E7F0EA" w:color="auto" w:val="clear"/>
          </w:tcPr>
          <w:p>
            <w:r>
              <w:rPr>
                <w:b/>
                <w:bCs/>
                <w:sz w:val="20"/>
                <w:szCs w:val="20"/>
              </w:rPr>
              <w:t xml:space="preserve">Resumen narrativo</w:t>
            </w:r>
          </w:p>
        </w:tc>
        <w:tc>
          <w:tcPr>
            <w:tcW w:type="pct" w:w="1200"/>
            <w:shd w:fill="E7F0EA" w:color="auto" w:val="clear"/>
          </w:tcPr>
          <w:p>
            <w:r>
              <w:rPr>
                <w:b/>
                <w:bCs/>
                <w:sz w:val="20"/>
                <w:szCs w:val="20"/>
              </w:rPr>
              <w:t xml:space="preserve">Indicadores verificables</w:t>
            </w:r>
          </w:p>
        </w:tc>
        <w:tc>
          <w:tcPr>
            <w:tcW w:type="pct" w:w="1000"/>
            <w:shd w:fill="E7F0EA" w:color="auto" w:val="clear"/>
          </w:tcPr>
          <w:p>
            <w:r>
              <w:rPr>
                <w:b/>
                <w:bCs/>
                <w:sz w:val="20"/>
                <w:szCs w:val="20"/>
              </w:rPr>
              <w:t xml:space="preserve">Medios de verificación</w:t>
            </w:r>
          </w:p>
        </w:tc>
        <w:tc>
          <w:tcPr>
            <w:tcW w:type="pct" w:w="1000"/>
            <w:shd w:fill="E7F0EA" w:color="auto" w:val="clear"/>
          </w:tcPr>
          <w:p>
            <w:r>
              <w:rPr>
                <w:b/>
                <w:bCs/>
                <w:sz w:val="20"/>
                <w:szCs w:val="20"/>
              </w:rPr>
              <w:t xml:space="preserve">Supuestos</w:t>
            </w:r>
          </w:p>
        </w:tc>
      </w:tr>
      <w:tr>
        <w:tc>
          <w:tcPr>
            <w:tcW w:type="pct" w:w="600"/>
          </w:tcPr>
          <w:p>
            <w:r>
              <w:rPr>
                <w:sz w:val="18"/>
                <w:szCs w:val="18"/>
              </w:rPr>
              <w:t xml:space="preserve">Fin</w:t>
            </w:r>
          </w:p>
        </w:tc>
        <w:tc>
          <w:tcPr>
            <w:tcW w:type="pct" w:w="1200"/>
          </w:tcPr>
          <w:p>
            <w:r>
              <w:rPr>
                <w:sz w:val="18"/>
                <w:szCs w:val="18"/>
              </w:rPr>
              <w:t xml:space="preserve">[POR CONFIRMAR: contribución de largo plazo]</w:t>
            </w:r>
          </w:p>
        </w:tc>
        <w:tc>
          <w:tcPr>
            <w:tcW w:type="pct" w:w="1200"/>
          </w:tcPr>
          <w:p>
            <w:r>
              <w:rPr>
                <w:sz w:val="18"/>
                <w:szCs w:val="18"/>
              </w:rPr>
              <w:t xml:space="preserve">[POR CONFIRMAR]</w:t>
            </w:r>
          </w:p>
        </w:tc>
        <w:tc>
          <w:tcPr>
            <w:tcW w:type="pct" w:w="1000"/>
          </w:tcPr>
          <w:p>
            <w:r>
              <w:rPr>
                <w:sz w:val="18"/>
                <w:szCs w:val="18"/>
              </w:rPr>
              <w:t xml:space="preserve">[POR CONFIRMAR]</w:t>
            </w:r>
          </w:p>
        </w:tc>
        <w:tc>
          <w:tcPr>
            <w:tcW w:type="pct" w:w="1000"/>
          </w:tcPr>
          <w:p>
            <w:r>
              <w:rPr>
                <w:sz w:val="18"/>
                <w:szCs w:val="18"/>
              </w:rPr>
              <w:t xml:space="preserve">[POR CONFIRMAR]</w:t>
            </w:r>
          </w:p>
        </w:tc>
      </w:tr>
      <w:tr>
        <w:tc>
          <w:tcPr>
            <w:tcW w:type="pct" w:w="600"/>
          </w:tcPr>
          <w:p>
            <w:r>
              <w:rPr>
                <w:sz w:val="18"/>
                <w:szCs w:val="18"/>
              </w:rPr>
              <w:t xml:space="preserve">Propósito</w:t>
            </w:r>
          </w:p>
        </w:tc>
        <w:tc>
          <w:tcPr>
            <w:tcW w:type="pct" w:w="1200"/>
          </w:tcPr>
          <w:p>
            <w:r>
              <w:rPr>
                <w:sz w:val="18"/>
                <w:szCs w:val="18"/>
              </w:rPr>
              <w:t xml:space="preserve">[POR CONFIRMAR: efecto directo esperado]</w:t>
            </w:r>
          </w:p>
        </w:tc>
        <w:tc>
          <w:tcPr>
            <w:tcW w:type="pct" w:w="1200"/>
          </w:tcPr>
          <w:p>
            <w:r>
              <w:rPr>
                <w:sz w:val="18"/>
                <w:szCs w:val="18"/>
              </w:rPr>
              <w:t xml:space="preserve">[POR CONFIRMAR]</w:t>
            </w:r>
          </w:p>
        </w:tc>
        <w:tc>
          <w:tcPr>
            <w:tcW w:type="pct" w:w="1000"/>
          </w:tcPr>
          <w:p>
            <w:r>
              <w:rPr>
                <w:sz w:val="18"/>
                <w:szCs w:val="18"/>
              </w:rPr>
              <w:t xml:space="preserve">[POR CONFIRMAR]</w:t>
            </w:r>
          </w:p>
        </w:tc>
        <w:tc>
          <w:tcPr>
            <w:tcW w:type="pct" w:w="1000"/>
          </w:tcPr>
          <w:p>
            <w:r>
              <w:rPr>
                <w:sz w:val="18"/>
                <w:szCs w:val="18"/>
              </w:rPr>
              <w:t xml:space="preserve">[POR CONFIRMAR]</w:t>
            </w:r>
          </w:p>
        </w:tc>
      </w:tr>
      <w:tr>
        <w:tc>
          <w:tcPr>
            <w:tcW w:type="pct" w:w="600"/>
          </w:tcPr>
          <w:p>
            <w:r>
              <w:rPr>
                <w:sz w:val="18"/>
                <w:szCs w:val="18"/>
              </w:rPr>
              <w:t xml:space="preserve">Componente 1</w:t>
            </w:r>
          </w:p>
        </w:tc>
        <w:tc>
          <w:tcPr>
            <w:tcW w:type="pct" w:w="1200"/>
          </w:tcPr>
          <w:p>
            <w:r>
              <w:rPr>
                <w:sz w:val="18"/>
                <w:szCs w:val="18"/>
              </w:rPr>
              <w:t xml:space="preserve">[POR CONFIRMAR: primer producto/entregable]</w:t>
            </w:r>
          </w:p>
        </w:tc>
        <w:tc>
          <w:tcPr>
            <w:tcW w:type="pct" w:w="1200"/>
          </w:tcPr>
          <w:p>
            <w:r>
              <w:rPr>
                <w:sz w:val="18"/>
                <w:szCs w:val="18"/>
              </w:rPr>
              <w:t xml:space="preserve">[POR CONFIRMAR]</w:t>
            </w:r>
          </w:p>
        </w:tc>
        <w:tc>
          <w:tcPr>
            <w:tcW w:type="pct" w:w="1000"/>
          </w:tcPr>
          <w:p>
            <w:r>
              <w:rPr>
                <w:sz w:val="18"/>
                <w:szCs w:val="18"/>
              </w:rPr>
              <w:t xml:space="preserve">[POR CONFIRMAR]</w:t>
            </w:r>
          </w:p>
        </w:tc>
        <w:tc>
          <w:tcPr>
            <w:tcW w:type="pct" w:w="1000"/>
          </w:tcPr>
          <w:p>
            <w:r>
              <w:rPr>
                <w:sz w:val="18"/>
                <w:szCs w:val="18"/>
              </w:rPr>
              <w:t xml:space="preserve">[POR CONFIRMAR]</w:t>
            </w:r>
          </w:p>
        </w:tc>
      </w:tr>
      <w:tr>
        <w:tc>
          <w:tcPr>
            <w:tcW w:type="pct" w:w="600"/>
          </w:tcPr>
          <w:p>
            <w:r>
              <w:rPr>
                <w:sz w:val="18"/>
                <w:szCs w:val="18"/>
              </w:rPr>
              <w:t xml:space="preserve">Actividades</w:t>
            </w:r>
          </w:p>
        </w:tc>
        <w:tc>
          <w:tcPr>
            <w:tcW w:type="pct" w:w="1200"/>
          </w:tcPr>
          <w:p>
            <w:r>
              <w:rPr>
                <w:sz w:val="18"/>
                <w:szCs w:val="18"/>
              </w:rPr>
              <w:t xml:space="preserve">[POR CONFIRMAR: actividades por componente]</w:t>
            </w:r>
          </w:p>
        </w:tc>
        <w:tc>
          <w:tcPr>
            <w:tcW w:type="pct" w:w="1200"/>
          </w:tcPr>
          <w:p>
            <w:r>
              <w:rPr>
                <w:sz w:val="18"/>
                <w:szCs w:val="18"/>
              </w:rPr>
              <w:t xml:space="preserve">[POR CONFIRMAR]</w:t>
            </w:r>
          </w:p>
        </w:tc>
        <w:tc>
          <w:tcPr>
            <w:tcW w:type="pct" w:w="1000"/>
          </w:tcPr>
          <w:p>
            <w:r>
              <w:rPr>
                <w:sz w:val="18"/>
                <w:szCs w:val="18"/>
              </w:rPr>
              <w:t xml:space="preserve">[POR CONFIRMAR]</w:t>
            </w:r>
          </w:p>
        </w:tc>
        <w:tc>
          <w:tcPr>
            <w:tcW w:type="pct" w:w="1000"/>
          </w:tcPr>
          <w:p>
            <w:r>
              <w:rPr>
                <w:sz w:val="18"/>
                <w:szCs w:val="18"/>
              </w:rPr>
              <w:t xml:space="preserve">[POR CONFIRMAR]</w:t>
            </w:r>
          </w:p>
        </w:tc>
      </w:tr>
    </w:tbl>
    <w:p>
      <w:pPr>
        <w:pStyle w:val="Heading1"/>
        <w:spacing w:after="160" w:before="320"/>
      </w:pPr>
      <w:r>
        <w:t xml:space="preserve">Checklist de presentación</w:t>
      </w:r>
    </w:p>
    <w:p>
      <w:pPr>
        <w:pStyle w:val="Heading2"/>
        <w:spacing w:after="80" w:before="200"/>
      </w:pPr>
      <w:r>
        <w:t xml:space="preserve">Documentos administrativos</w:t>
      </w:r>
    </w:p>
    <w:p>
      <w:pPr>
        <w:pStyle w:val="ListParagraph"/>
        <w:numPr>
          <w:ilvl w:val="0"/>
          <w:numId w:val="1"/>
        </w:numPr>
        <w:spacing w:after="60"/>
      </w:pPr>
      <w:r>
        <w:t xml:space="preserve">[Obligatorio] Propuesta técnica firmada</w:t>
      </w:r>
    </w:p>
    <w:p>
      <w:pPr>
        <w:pStyle w:val="ListParagraph"/>
        <w:numPr>
          <w:ilvl w:val="0"/>
          <w:numId w:val="1"/>
        </w:numPr>
        <w:spacing w:after="60"/>
      </w:pPr>
      <w:r>
        <w:t xml:space="preserve">[Obligatorio] Estructura económica diligenciada y firmada</w:t>
      </w:r>
    </w:p>
    <w:p>
      <w:pPr>
        <w:pStyle w:val="ListParagraph"/>
        <w:numPr>
          <w:ilvl w:val="0"/>
          <w:numId w:val="1"/>
        </w:numPr>
        <w:spacing w:after="60"/>
      </w:pPr>
      <w:r>
        <w:t xml:space="preserve">[Obligatorio] RUT vigente</w:t>
      </w:r>
    </w:p>
    <w:p>
      <w:pPr>
        <w:pStyle w:val="ListParagraph"/>
        <w:numPr>
          <w:ilvl w:val="0"/>
          <w:numId w:val="1"/>
        </w:numPr>
        <w:spacing w:after="60"/>
      </w:pPr>
      <w:r>
        <w:t xml:space="preserve">[Obligatorio] Certificación de existencia y representación legal</w:t>
      </w:r>
    </w:p>
    <w:p>
      <w:pPr>
        <w:pStyle w:val="ListParagraph"/>
        <w:numPr>
          <w:ilvl w:val="0"/>
          <w:numId w:val="1"/>
        </w:numPr>
        <w:spacing w:after="60"/>
      </w:pPr>
      <w:r>
        <w:t xml:space="preserve">Garantía de seriedad de la propuesta (si el pliego la exige)</w:t>
      </w:r>
    </w:p>
    <w:p>
      <w:pPr>
        <w:pStyle w:val="Heading2"/>
        <w:spacing w:after="80" w:before="200"/>
      </w:pPr>
      <w:r>
        <w:t xml:space="preserve">Antes de enviar</w:t>
      </w:r>
    </w:p>
    <w:p>
      <w:pPr>
        <w:pStyle w:val="ListParagraph"/>
        <w:numPr>
          <w:ilvl w:val="0"/>
          <w:numId w:val="1"/>
        </w:numPr>
        <w:spacing w:after="60"/>
      </w:pPr>
      <w:r>
        <w:t xml:space="preserve">[Obligatorio] Verificar fecha límite de presentación en el proceso SECOP</w:t>
      </w:r>
    </w:p>
    <w:p>
      <w:pPr>
        <w:pStyle w:val="ListParagraph"/>
        <w:numPr>
          <w:ilvl w:val="0"/>
          <w:numId w:val="1"/>
        </w:numPr>
        <w:spacing w:after="60"/>
      </w:pPr>
      <w:r>
        <w:t xml:space="preserve">[Obligatorio] Confirmar requisitos habilitantes de la matriz</w:t>
      </w:r>
    </w:p>
    <w:p>
      <w:pPr>
        <w:pStyle w:val="ListParagraph"/>
        <w:numPr>
          <w:ilvl w:val="0"/>
          <w:numId w:val="1"/>
        </w:numPr>
        <w:spacing w:after="60"/>
      </w:pPr>
      <w:r>
        <w:t xml:space="preserve">[Obligatorio] Revisar que no queden marcadores [POR CONFIRMAR]</w:t>
      </w:r>
    </w:p>
    <w:p>
      <w:pPr>
        <w:pStyle w:val="ListParagraph"/>
        <w:numPr>
          <w:ilvl w:val="0"/>
          <w:numId w:val="1"/>
        </w:numPr>
        <w:spacing w:after="60"/>
      </w:pPr>
      <w:r>
        <w:t xml:space="preserve">[Obligatorio] Aprobación explícita del responsable registrado</w:t>
      </w:r>
    </w:p>
    <w:p>
      <w:pPr>
        <w:spacing w:after="120"/>
      </w:pPr>
    </w:p>
    <w:p>
      <w:pPr>
        <w:pBdr>
          <w:top w:val="single" w:color="D1D5DB" w:sz="6"/>
        </w:pBdr>
        <w:spacing w:before="200"/>
      </w:pPr>
      <w:r>
        <w:rPr>
          <w:i/>
          <w:iCs/>
          <w:color w:val="6B7280"/>
          <w:sz w:val="18"/>
          <w:szCs w:val="18"/>
        </w:rPr>
        <w:t xml:space="preserve">Nota: este borrador fue generado automáticamente con la información registrada de la empresa. Todo marcador [POR CONFIRMAR] debe diligenciarse antes de la presentación. La presentación en SECOP II se realiza por la empresa y exige aprobación humana explícita.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v7 — PRESTACION DE SERVICIOS DE APOYO</dc:title>
  <dc:creator>SECOP Radar — Agente Proyectista</dc:creator>
  <cp:lastModifiedBy>Un-named</cp:lastModifiedBy>
  <cp:revision>1</cp:revision>
  <dcterms:created xsi:type="dcterms:W3CDTF">2026-10-05T01:28:17.428Z</dcterms:created>
  <dcterms:modified xsi:type="dcterms:W3CDTF">2026-10-05T01:28:17.428Z</dcterms:modified>
</cp:coreProperties>
</file>

<file path=docProps/custom.xml><?xml version="1.0" encoding="utf-8"?>
<Properties xmlns="http://schemas.openxmlformats.org/officeDocument/2006/custom-properties" xmlns:vt="http://schemas.openxmlformats.org/officeDocument/2006/docPropsVTypes"/>
</file>