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jc w:val="center"/>
      </w:pPr>
      <w:r>
        <w:t xml:space="preserve">Suministros y Servicios Logísticos Andina SAS</w:t>
      </w:r>
    </w:p>
    <w:p>
      <w:pPr>
        <w:spacing w:after="240"/>
        <w:jc w:val="center"/>
      </w:pPr>
      <w:r>
        <w:rPr>
          <w:b/>
          <w:bCs/>
          <w:sz w:val="26"/>
          <w:szCs w:val="26"/>
        </w:rPr>
        <w:t xml:space="preserve">Propuesta técnica — Proceso de contratación SECOP II</w:t>
      </w:r>
    </w:p>
    <w:p>
      <w:pPr>
        <w:spacing w:after="100"/>
      </w:pPr>
      <w:r>
        <w:t xml:space="preserve">Proceso: CO1.REQ.11146502</w:t>
      </w:r>
    </w:p>
    <w:p>
      <w:pPr>
        <w:spacing w:after="100"/>
      </w:pPr>
      <w:r>
        <w:t xml:space="preserve">Entidad convocante: MUNICIPIO DE PACHO</w:t>
      </w:r>
    </w:p>
    <w:p>
      <w:pPr>
        <w:spacing w:after="100"/>
      </w:pPr>
      <w:r>
        <w:t xml:space="preserve">Objeto: PRESTACION DE SERVICIOS DE APOYO</w:t>
      </w:r>
    </w:p>
    <w:p>
      <w:pPr>
        <w:spacing w:after="100"/>
      </w:pPr>
      <w:r>
        <w:t xml:space="preserve">Valor base de referencia: $9.680.000 COP (el precio de la propuesta lo define la empresa)</w:t>
      </w:r>
    </w:p>
    <w:p>
      <w:pPr>
        <w:spacing w:after="100"/>
      </w:pPr>
      <w:r>
        <w:t xml:space="preserve">Lugar: Pacho / Cundinamarca  ·  Duración publicada: 88 día(s)</w:t>
      </w:r>
    </w:p>
    <w:p>
      <w:pPr>
        <w:spacing w:after="100"/>
      </w:pPr>
      <w:r>
        <w:t xml:space="preserve">Versión del borrador: v11  ·  Generada: 5/10/2026, 1:42:52 a. m.</w:t>
      </w:r>
    </w:p>
    <w:p>
      <w:pPr>
        <w:spacing w:after="100"/>
      </w:pPr>
      <w:r>
        <w:t xml:space="preserve">Generada por: SECOP Radar — Modo Agente Proyectista (sin datos inventados; marcadores [POR CONFIRMAR] por diligenciar)</w:t>
      </w:r>
    </w:p>
    <w:p>
      <w:pPr>
        <w:pStyle w:val="Heading1"/>
        <w:spacing w:after="160" w:before="320"/>
      </w:pPr>
      <w:r>
        <w:t xml:space="preserve">1. Resumen ejecutivo</w:t>
      </w:r>
    </w:p>
    <w:p>
      <w:pPr>
        <w:spacing w:after="100"/>
      </w:pPr>
      <w:r>
        <w:t xml:space="preserve">Suministros y Servicios Logísticos Andina SAS propone una solución integral para el seguimiento, control y organización del acopio de material de recebo en Pacho, Cundinamarca. Nuestra experiencia en logística ligera y suministros nos permite garantizar una gestión eficiente de los materiales destinados al mantenimiento vial. Adaptaremos nuestra metodología operativa para cubrir las necesidades específicas de los núcleos de acopio municipales, asegurando cumplimiento en tiempo y calidad.</w:t>
      </w:r>
    </w:p>
    <w:p>
      <w:pPr>
        <w:pStyle w:val="Heading1"/>
        <w:spacing w:after="160" w:before="320"/>
      </w:pPr>
      <w:r>
        <w:t xml:space="preserve">2. Entendimiento del objeto y contexto</w:t>
      </w:r>
    </w:p>
    <w:p>
      <w:pPr>
        <w:spacing w:after="100"/>
      </w:pPr>
      <w:r>
        <w:t xml:space="preserve">El municipio de Pacho requiere apoyo para gestionar el acopio de material de recebo destinado al mantenimiento vial rural. El reto es organizar el seguimiento y control en múltiples núcleos de acopio durante 88 días. El contexto incluye la necesidad de optimizar recursos en un municipio de Cundinamarca con infraestructura vial rural que requiere mantenimiento constante. La contratación directa sugiere urgencia y especialización en la gestión logística.</w:t>
      </w:r>
    </w:p>
    <w:p>
      <w:pPr>
        <w:pStyle w:val="Heading1"/>
        <w:spacing w:after="160" w:before="320"/>
      </w:pPr>
      <w:r>
        <w:t xml:space="preserve">3. Solución propuesta</w:t>
      </w:r>
    </w:p>
    <w:p>
      <w:pPr>
        <w:spacing w:after="100"/>
      </w:pPr>
      <w:r>
        <w:t xml:space="preserve">Proporcionaremos un equipo dedicado para el seguimiento, control y organización del acopio en los núcleos municipales. Implementaremos un sistema de registro y monitoreo de materiales, con rutas de verificación física y digital. Nuestra experiencia en logística ligera nos permite adaptar procesos para manejo eficiente de materiales, asegurando disponibilidad para los equipos de mantenimiento vial. Diferencial: enfoque en sistemas de trazabilidad y control de inventarios adaptados a las necesidades específicas del municipio.</w:t>
      </w:r>
    </w:p>
    <w:p>
      <w:pPr>
        <w:pStyle w:val="Heading1"/>
        <w:spacing w:after="160" w:before="320"/>
      </w:pPr>
      <w:r>
        <w:t xml:space="preserve">4. Metodología y plan de trabajo</w:t>
      </w:r>
    </w:p>
    <w:p>
      <w:pPr>
        <w:spacing w:after="100"/>
      </w:pPr>
      <w:r>
        <w:t xml:space="preserve">Fase 1: Diagnóstico y planificación (15 días) - Mapeo de núcleos de acopio, establecimiento de indicadores y protocolos. Fase 2: Implementación de sistema de seguimiento (25 días) - Instalación de herramientas de registro, capacitación a personal municipal. Fase 3: Operación y monitoreo (40 días) - Seguimiento diario de acopio, control de calidad y reportes semanales. Fase 4: Cierre y entrega de informes (8 días) - Consolidación de resultados y recomendaciones. Control de calidad mediante verificaciones cruzadas y auditorías semanales.</w:t>
      </w:r>
    </w:p>
    <w:p>
      <w:pPr>
        <w:pStyle w:val="Heading1"/>
        <w:spacing w:after="160" w:before="320"/>
      </w:pPr>
      <w:r>
        <w:t xml:space="preserve">5. Cronograma tentativo</w:t>
      </w:r>
    </w:p>
    <w:p>
      <w:pPr>
        <w:spacing w:after="100"/>
      </w:pPr>
      <w:r>
        <w:t xml:space="preserve">Fase 1: Diagnóstico y planificación (semanas 1-3), Fase 2: Implementación (semanas 4-7), Fase 3: Operación (semanas 8-14), Fase 4: Cierre (semanas 15-16). Distribución total: 88 días, alineada con el plazo contractual. Las actividades se ejecutarán con visitas semanales a cada núcleo de acopio y seguimiento remoto diario mediante herramientas digitales.</w:t>
      </w:r>
    </w:p>
    <w:p>
      <w:pPr>
        <w:pStyle w:val="Heading1"/>
        <w:spacing w:after="160" w:before="320"/>
      </w:pPr>
      <w:r>
        <w:t xml:space="preserve">6. Equipo y organización</w:t>
      </w:r>
    </w:p>
    <w:p>
      <w:pPr>
        <w:spacing w:after="100"/>
      </w:pPr>
      <w:r>
        <w:t xml:space="preserve">Coordinador de proyecto: [POR CONFIRMAR: nombre del profesional] - Gestión general y coordinación con entidad. Supervisor logístico: [POR CONFIRMAR: nombre del profesional] - Control de acopio y calidad. Técnicos de campo: 3 personas - Verificación física en núcleos. Personal administrativo: 1 persona - Registro y reportes. Coordinación semanal con entidad mediante reuniones presenciales y reportes digitales. Canales de comunicación: correo electrónico, plataforma digital y teléfono directo.</w:t>
      </w:r>
    </w:p>
    <w:p>
      <w:pPr>
        <w:pStyle w:val="Heading1"/>
        <w:spacing w:after="160" w:before="320"/>
      </w:pPr>
      <w:r>
        <w:t xml:space="preserve">7. Indicadores de éxito</w:t>
      </w:r>
    </w:p>
    <w:p>
      <w:pPr>
        <w:spacing w:after="100"/>
      </w:pPr>
      <w:r>
        <w:t xml:space="preserve">1. Tasa de disponibilidad de materiales: (Materiales disponibles / Materiales requeridos) × 100% - Meta: 95%. 2. Cumplimiento de entregas: (Entregas puntuales / Total de entregas) × 100% - Meta: 98%. 3. Satisfacción del cliente: Encuesta trimestral con escala 1-5 - Meta: 4.5/5. 4. Eficiencia en control de inventario: (Diferencia real vs. reportada / Total inventario) × 100% - Meta: &lt;5%.</w:t>
      </w:r>
    </w:p>
    <w:p>
      <w:pPr>
        <w:pStyle w:val="Heading1"/>
        <w:spacing w:after="160" w:before="320"/>
      </w:pPr>
      <w:r>
        <w:t xml:space="preserve">8. Gestión de riesgos</w:t>
      </w:r>
    </w:p>
    <w:p>
      <w:pPr>
        <w:spacing w:after="100"/>
      </w:pPr>
      <w:r>
        <w:t xml:space="preserve">1. Retrasos en entregas: Mitigación mediante rutas alternas y monitoreo en tiempo real. 2. Disponibilidad insuficiente de materiales: Mitigación con sistema de alertas tempranas y coordinación con proveedores. 3. Fallas en comunicación: Mitigación con canales alternativos y reuniones periódicas de seguimiento. 4. Cambios en los requerimientos: Mitigación con flexibilidad en la metodología y ajustes ágiles.</w:t>
      </w:r>
    </w:p>
    <w:p>
      <w:pPr>
        <w:pStyle w:val="Heading1"/>
        <w:spacing w:after="160" w:before="320"/>
      </w:pPr>
      <w:r>
        <w:t xml:space="preserve">9. Por qué esta empresa</w:t>
      </w:r>
    </w:p>
    <w:p>
      <w:pPr>
        <w:spacing w:after="100"/>
      </w:pPr>
      <w:r>
        <w:t xml:space="preserve">Aunque no tenemos experiencia específica en acopio vial, nuestra experiencia en logística ligera y suministros nos proporciona competencias transferibles para la gestión de materiales. Hemos ejecuido proyectos de $18.6M en aseo institucional y $9.5M en suministros, demostrando capacidad en la gestión de recursos y logística. Nuestro equipo operativo de 15 personas nos permite garantizar cobertura en Pacho y Cundinamarca, con la flexibilidad necesaria para adaptar procesos a las necesidades específicas del municipio.</w:t>
      </w:r>
    </w:p>
    <w:p>
      <w:pPr>
        <w:pStyle w:val="Heading1"/>
        <w:spacing w:after="160" w:before="320"/>
      </w:pPr>
      <w:r>
        <w:t xml:space="preserve">10. Estructura económica (plantilla)</w:t>
      </w:r>
    </w:p>
    <w:p>
      <w:pPr>
        <w:spacing w:after="100"/>
      </w:pPr>
      <w:r>
        <w:t xml:space="preserve">Concepto|Valor</w:t>
      </w:r>
    </w:p>
    <w:p>
      <w:pPr>
        <w:spacing w:after="100"/>
      </w:pPr>
      <w:r>
        <w:t xml:space="preserve">---|---</w:t>
      </w:r>
    </w:p>
    <w:p>
      <w:pPr>
        <w:spacing w:after="100"/>
      </w:pPr>
      <w:r>
        <w:t xml:space="preserve">Honorarios coordinador proyecto|[POR CONFIRMAR]</w:t>
      </w:r>
    </w:p>
    <w:p>
      <w:pPr>
        <w:spacing w:after="100"/>
      </w:pPr>
      <w:r>
        <w:t xml:space="preserve">Supervisor logístico|[POR CONFIRMAR]</w:t>
      </w:r>
    </w:p>
    <w:p>
      <w:pPr>
        <w:spacing w:after="100"/>
      </w:pPr>
      <w:r>
        <w:t xml:space="preserve">Técnicos de campo (3 personas)|[POR CONFIRMAR]</w:t>
      </w:r>
    </w:p>
    <w:p>
      <w:pPr>
        <w:spacing w:after="100"/>
      </w:pPr>
      <w:r>
        <w:t xml:space="preserve">Personal administrativo|[POR CONFIRMAR]</w:t>
      </w:r>
    </w:p>
    <w:p>
      <w:pPr>
        <w:spacing w:after="100"/>
      </w:pPr>
      <w:r>
        <w:t xml:space="preserve">Movilización y desplazamientos|[POR CONFIRMAR]</w:t>
      </w:r>
    </w:p>
    <w:p>
      <w:pPr>
        <w:spacing w:after="100"/>
      </w:pPr>
      <w:r>
        <w:t xml:space="preserve">Herramientas tecnológicas|[POR CONFIRMAR]</w:t>
      </w:r>
    </w:p>
    <w:p>
      <w:pPr>
        <w:spacing w:after="100"/>
      </w:pPr>
      <w:r>
        <w:t xml:space="preserve">Formación y capacitación|[POR CONFIRMAR]</w:t>
      </w:r>
    </w:p>
    <w:p>
      <w:pPr>
        <w:spacing w:after="100"/>
      </w:pPr>
      <w:r>
        <w:t xml:space="preserve">Total|[POR CONFIRMAR]</w:t>
      </w:r>
    </w:p>
    <w:p>
      <w:pPr>
        <w:spacing w:after="100"/>
      </w:pPr>
      <w:r>
        <w:t xml:space="preserve">Presupuesto de referencia: $9.680.000 COP</w:t>
      </w:r>
    </w:p>
    <w:p>
      <w:pPr>
        <w:spacing w:after="100"/>
      </w:pPr>
      <w:r>
        <w:t xml:space="preserve">*Nota: Los precios definitivos serán definidos por la empresa*</w:t>
      </w:r>
    </w:p>
    <w:p>
      <w:pPr>
        <w:pStyle w:val="Heading1"/>
        <w:spacing w:after="160" w:before="320"/>
      </w:pPr>
      <w:r>
        <w:t xml:space="preserve">11. Anexos y documentos de la oferta</w:t>
      </w:r>
    </w:p>
    <w:p>
      <w:pPr>
        <w:spacing w:after="100"/>
      </w:pPr>
      <w:r>
        <w:t xml:space="preserve">Documentos administrativos: RUT vigente [DISPONIBLE], Certificado de existencia y representación legal [DISPONIBLE], RUP [DISPONIBLE]. Documentos pendientes: Estados financieros certificados [PENDIENTE], Certificación bancaria [PENDIENTE], Póliza de responsabilidad civil [PENDIENTE - actualizar]. Anexos técnicos: Propuesta metodológica detallada, Cronograma de actividades, Perfiles del equipo propuesto, Plan de gestión de riesgos.</w:t>
      </w:r>
    </w:p>
    <w:p>
      <w:pPr>
        <w:pStyle w:val="Heading1"/>
        <w:spacing w:after="160" w:before="320"/>
      </w:pPr>
      <w:r>
        <w:t xml:space="preserve">12. Marco lógico</w:t>
      </w:r>
    </w:p>
    <w:p>
      <w:pPr>
        <w:spacing w:after="100"/>
      </w:pPr>
      <w:r>
        <w:t xml:space="preserve">El árbol de problemas se deriva del objeto del proceso de contratación, que busca prestar servicios de apoyo para el seguimiento, control y organización del acopio de material de recebo destinado al mantenimiento y mejoramiento de la red vial rural en Pacho, Cundinamarca. El problema central es la ineficiencia en la gestión del acopio de materiales para la red vial rural, causada por falta de organización, sistemas de seguimiento inadecuados y deficiente control de calidad. Esto genera demoras en los proyectos de mantenimiento, sobrecostos y materiales de baja calidad. El árbol de objetivos refleja esta lógica, buscando establecer un sistema eficiente de acopio y seguimiento. Este tipo de proceso, de servicios de apoyo a la gestión, suele exigir marco lógico en el pliego para garantizar que los servicios contratados contribuyan efectivamente a los objetivos de mantenimiento vial del municipio.</w:t>
      </w:r>
    </w:p>
    <w:p>
      <w:pPr>
        <w:pStyle w:val="Heading1"/>
        <w:spacing w:after="160" w:before="320"/>
      </w:pPr>
      <w:r>
        <w:t xml:space="preserve">Anexo — Matriz de Marco Lógico</w:t>
      </w:r>
    </w:p>
    <w:p>
      <w:pPr>
        <w:spacing w:after="100"/>
      </w:pPr>
      <w:r>
        <w:t xml:space="preserve">Problema central: Ineficiencia en la gestión del acopio de materiales para el mantenimiento y mejoramiento de la red vial rural del municipio de Pacho</w:t>
      </w:r>
    </w:p>
    <w:p>
      <w:pPr>
        <w:spacing w:after="100"/>
      </w:pPr>
      <w:r>
        <w:t xml:space="preserve">Causas: Falta de un sistema organizado para el manejo de núcleos de acopio · Ausencia de herramientas de seguimiento y control en tiempo real · Deficiente protocolo de control de calidad de los materiales recebidos</w:t>
      </w:r>
    </w:p>
    <w:p>
      <w:pPr>
        <w:spacing w:after="100"/>
      </w:pPr>
      <w:r>
        <w:t xml:space="preserve">Efectos: Demoras en los proyectos de mantenimiento y mejoramiento vial · Sobrecostos por manejo ineficiente de materiales · Uso de materiales de baja calidad que afectan la duración de las intervenciones</w:t>
      </w:r>
    </w:p>
    <w:p>
      <w:pPr>
        <w:spacing w:after="100"/>
      </w:pPr>
      <w:r>
        <w:t xml:space="preserve">Objetivo central: Implementar un sistema eficiente de seguimiento, control y organización del acopio de material de recebo para el mantenimiento y mejoramiento de la red vial rural del municipio de Pacho</w:t>
      </w:r>
    </w:p>
    <w:p>
      <w:pPr>
        <w:spacing w:after="80"/>
      </w:pPr>
    </w:p>
    <w:tbl>
      <w:tblPr>
        <w:tblW w:type="pct" w:w="5000"/>
        <w:tblBorders>
          <w:top w:val="single" w:color="9CA3AF" w:sz="1"/>
          <w:left w:val="single" w:color="9CA3AF" w:sz="1"/>
          <w:bottom w:val="single" w:color="9CA3AF" w:sz="1"/>
          <w:right w:val="single" w:color="9CA3AF" w:sz="1"/>
          <w:insideH w:val="single" w:color="9CA3AF" w:sz="1"/>
          <w:insideV w:val="single" w:color="9CA3AF" w:sz="1"/>
        </w:tblBorders>
      </w:tblPr>
      <w:tblGrid>
        <w:gridCol w:w="1083"/>
        <w:gridCol w:w="2166"/>
        <w:gridCol w:w="2166"/>
        <w:gridCol w:w="1805"/>
        <w:gridCol w:w="1805"/>
      </w:tblGrid>
      <w:tr>
        <w:trPr>
          <w:tblHeader/>
        </w:trPr>
        <w:tc>
          <w:tcPr>
            <w:tcW w:type="pct" w:w="600"/>
            <w:shd w:fill="E7F0EA" w:color="auto" w:val="clear"/>
          </w:tcPr>
          <w:p>
            <w:r>
              <w:rPr>
                <w:b/>
                <w:bCs/>
                <w:sz w:val="20"/>
                <w:szCs w:val="20"/>
              </w:rPr>
              <w:t xml:space="preserve">Nivel</w:t>
            </w:r>
          </w:p>
        </w:tc>
        <w:tc>
          <w:tcPr>
            <w:tcW w:type="pct" w:w="1200"/>
            <w:shd w:fill="E7F0EA" w:color="auto" w:val="clear"/>
          </w:tcPr>
          <w:p>
            <w:r>
              <w:rPr>
                <w:b/>
                <w:bCs/>
                <w:sz w:val="20"/>
                <w:szCs w:val="20"/>
              </w:rPr>
              <w:t xml:space="preserve">Resumen narrativo</w:t>
            </w:r>
          </w:p>
        </w:tc>
        <w:tc>
          <w:tcPr>
            <w:tcW w:type="pct" w:w="1200"/>
            <w:shd w:fill="E7F0EA" w:color="auto" w:val="clear"/>
          </w:tcPr>
          <w:p>
            <w:r>
              <w:rPr>
                <w:b/>
                <w:bCs/>
                <w:sz w:val="20"/>
                <w:szCs w:val="20"/>
              </w:rPr>
              <w:t xml:space="preserve">Indicadores verificables</w:t>
            </w:r>
          </w:p>
        </w:tc>
        <w:tc>
          <w:tcPr>
            <w:tcW w:type="pct" w:w="1000"/>
            <w:shd w:fill="E7F0EA" w:color="auto" w:val="clear"/>
          </w:tcPr>
          <w:p>
            <w:r>
              <w:rPr>
                <w:b/>
                <w:bCs/>
                <w:sz w:val="20"/>
                <w:szCs w:val="20"/>
              </w:rPr>
              <w:t xml:space="preserve">Medios de verificación</w:t>
            </w:r>
          </w:p>
        </w:tc>
        <w:tc>
          <w:tcPr>
            <w:tcW w:type="pct" w:w="1000"/>
            <w:shd w:fill="E7F0EA" w:color="auto" w:val="clear"/>
          </w:tcPr>
          <w:p>
            <w:r>
              <w:rPr>
                <w:b/>
                <w:bCs/>
                <w:sz w:val="20"/>
                <w:szCs w:val="20"/>
              </w:rPr>
              <w:t xml:space="preserve">Supuestos</w:t>
            </w:r>
          </w:p>
        </w:tc>
      </w:tr>
      <w:tr>
        <w:tc>
          <w:tcPr>
            <w:tcW w:type="pct" w:w="600"/>
          </w:tcPr>
          <w:p>
            <w:r>
              <w:rPr>
                <w:sz w:val="18"/>
                <w:szCs w:val="18"/>
              </w:rPr>
              <w:t xml:space="preserve">Fin</w:t>
            </w:r>
          </w:p>
        </w:tc>
        <w:tc>
          <w:tcPr>
            <w:tcW w:type="pct" w:w="1200"/>
          </w:tcPr>
          <w:p>
            <w:r>
              <w:rPr>
                <w:sz w:val="18"/>
                <w:szCs w:val="18"/>
              </w:rPr>
              <w:t xml:space="preserve">Red vial rural del municipio de Pacho en óptimas condiciones de transitabilidad y durabilidad</w:t>
            </w:r>
          </w:p>
        </w:tc>
        <w:tc>
          <w:tcPr>
            <w:tcW w:type="pct" w:w="1200"/>
          </w:tcPr>
          <w:p>
            <w:r>
              <w:rPr>
                <w:sz w:val="18"/>
                <w:szCs w:val="18"/>
              </w:rPr>
              <w:t xml:space="preserve">Porcentaje de vialidad rural en condiciones óptimas (meta: 85%) | Índice de satisfacción de usuarios (meta: 4.2/5) | Tiempo de respuesta a emergencias viales (meta: &lt;24 horas)</w:t>
            </w:r>
          </w:p>
        </w:tc>
        <w:tc>
          <w:tcPr>
            <w:tcW w:type="pct" w:w="1000"/>
          </w:tcPr>
          <w:p>
            <w:r>
              <w:rPr>
                <w:sz w:val="18"/>
                <w:szCs w:val="18"/>
              </w:rPr>
              <w:t xml:space="preserve">Reportes de inspección vial | Encuestas de satisfacción a usuarios | Registros de atención de emergencias viales</w:t>
            </w:r>
          </w:p>
        </w:tc>
        <w:tc>
          <w:tcPr>
            <w:tcW w:type="pct" w:w="1000"/>
          </w:tcPr>
          <w:p>
            <w:r>
              <w:rPr>
                <w:sz w:val="18"/>
                <w:szCs w:val="18"/>
              </w:rPr>
              <w:t xml:space="preserve">Disponibilidad de recursos municipales para mantenimiento continuo | Clima favorable para trabajos viales | Cooperación de comunidades en la preservación de la vialidad</w:t>
            </w:r>
          </w:p>
        </w:tc>
      </w:tr>
      <w:tr>
        <w:tc>
          <w:tcPr>
            <w:tcW w:type="pct" w:w="600"/>
          </w:tcPr>
          <w:p>
            <w:r>
              <w:rPr>
                <w:sz w:val="18"/>
                <w:szCs w:val="18"/>
              </w:rPr>
              <w:t xml:space="preserve">Propósito</w:t>
            </w:r>
          </w:p>
        </w:tc>
        <w:tc>
          <w:tcPr>
            <w:tcW w:type="pct" w:w="1200"/>
          </w:tcPr>
          <w:p>
            <w:r>
              <w:rPr>
                <w:sz w:val="18"/>
                <w:szCs w:val="18"/>
              </w:rPr>
              <w:t xml:space="preserve">Sistema eficiente de acopio y gestión de materiales para el mantenimiento vial rural implementado y operativo</w:t>
            </w:r>
          </w:p>
        </w:tc>
        <w:tc>
          <w:tcPr>
            <w:tcW w:type="pct" w:w="1200"/>
          </w:tcPr>
          <w:p>
            <w:r>
              <w:rPr>
                <w:sz w:val="18"/>
                <w:szCs w:val="18"/>
              </w:rPr>
              <w:t xml:space="preserve">Porcentaje de materiales recibidos con control de calidad (meta: 95%) | Tiempo promedio de acopio por proyecto (meta: &lt;15 días) | Cumplimiento de protocolos de almacenamiento (meta: 100%)</w:t>
            </w:r>
          </w:p>
        </w:tc>
        <w:tc>
          <w:tcPr>
            <w:tcW w:type="pct" w:w="1000"/>
          </w:tcPr>
          <w:p>
            <w:r>
              <w:rPr>
                <w:sz w:val="18"/>
                <w:szCs w:val="18"/>
              </w:rPr>
              <w:t xml:space="preserve">Reportes de control de calidad | Registros de tiempo de acopio | Auditorías de almacenamiento</w:t>
            </w:r>
          </w:p>
        </w:tc>
        <w:tc>
          <w:tcPr>
            <w:tcW w:type="pct" w:w="1000"/>
          </w:tcPr>
          <w:p>
            <w:r>
              <w:rPr>
                <w:sz w:val="18"/>
                <w:szCs w:val="18"/>
              </w:rPr>
              <w:t xml:space="preserve">Continuidad del programa de mantenimiento vial | Disponibilidad de terrenos adecuados para núcleos de acopio | Cumplimiento de proveedores con especificaciones técnicas</w:t>
            </w:r>
          </w:p>
        </w:tc>
      </w:tr>
      <w:tr>
        <w:tc>
          <w:tcPr>
            <w:tcW w:type="pct" w:w="600"/>
          </w:tcPr>
          <w:p>
            <w:r>
              <w:rPr>
                <w:sz w:val="18"/>
                <w:szCs w:val="18"/>
              </w:rPr>
              <w:t xml:space="preserve">Componente 1: Diagnóstico y planificación</w:t>
            </w:r>
          </w:p>
        </w:tc>
        <w:tc>
          <w:tcPr>
            <w:tcW w:type="pct" w:w="1200"/>
          </w:tcPr>
          <w:p>
            <w:r>
              <w:rPr>
                <w:sz w:val="18"/>
                <w:szCs w:val="18"/>
              </w:rPr>
              <w:t xml:space="preserve">Mapeo de núcleos de acopio y establecimiento de indicadores y protocolos</w:t>
            </w:r>
          </w:p>
        </w:tc>
        <w:tc>
          <w:tcPr>
            <w:tcW w:type="pct" w:w="1200"/>
          </w:tcPr>
          <w:p>
            <w:r>
              <w:rPr>
                <w:sz w:val="18"/>
                <w:szCs w:val="18"/>
              </w:rPr>
              <w:t xml:space="preserve">Número de núcleos de acopio identificados y mapeados (meta: 5) | Protocolos establecidos (meta: 3) | Indicadores de seguimiento definidos (meta: 10)</w:t>
            </w:r>
          </w:p>
        </w:tc>
        <w:tc>
          <w:tcPr>
            <w:tcW w:type="pct" w:w="1000"/>
          </w:tcPr>
          <w:p>
            <w:r>
              <w:rPr>
                <w:sz w:val="18"/>
                <w:szCs w:val="18"/>
              </w:rPr>
              <w:t xml:space="preserve">Mapas de núcleos de acopio | Documentos de protocolos | Cuadro de indicadores de seguimiento</w:t>
            </w:r>
          </w:p>
        </w:tc>
        <w:tc>
          <w:tcPr>
            <w:tcW w:type="pct" w:w="1000"/>
          </w:tcPr>
          <w:p>
            <w:r>
              <w:rPr>
                <w:sz w:val="18"/>
                <w:szCs w:val="18"/>
              </w:rPr>
              <w:t xml:space="preserve">Acceso a todos los núcleos de acopio existentes | Disponibilidad de información histórica de acopio | Colaboración de personal municipal identificador</w:t>
            </w:r>
          </w:p>
        </w:tc>
      </w:tr>
      <w:tr>
        <w:tc>
          <w:tcPr>
            <w:tcW w:type="pct" w:w="600"/>
          </w:tcPr>
          <w:p>
            <w:r>
              <w:rPr>
                <w:sz w:val="18"/>
                <w:szCs w:val="18"/>
              </w:rPr>
              <w:t xml:space="preserve">Componente 2: Implementación de sistema de seguimiento</w:t>
            </w:r>
          </w:p>
        </w:tc>
        <w:tc>
          <w:tcPr>
            <w:tcW w:type="pct" w:w="1200"/>
          </w:tcPr>
          <w:p>
            <w:r>
              <w:rPr>
                <w:sz w:val="18"/>
                <w:szCs w:val="18"/>
              </w:rPr>
              <w:t xml:space="preserve">Instalación de herramientas de registro y capacitación a personal municipal</w:t>
            </w:r>
          </w:p>
        </w:tc>
        <w:tc>
          <w:tcPr>
            <w:tcW w:type="pct" w:w="1200"/>
          </w:tcPr>
          <w:p>
            <w:r>
              <w:rPr>
                <w:sz w:val="18"/>
                <w:szCs w:val="18"/>
              </w:rPr>
              <w:t xml:space="preserve">Herramientas de registro instaladas (meta: 5) | Personal municipal capacitado (meta: 15 personas) | Porcentaje de capacitación aprobada (meta: 100%)</w:t>
            </w:r>
          </w:p>
        </w:tc>
        <w:tc>
          <w:tcPr>
            <w:tcW w:type="pct" w:w="1000"/>
          </w:tcPr>
          <w:p>
            <w:r>
              <w:rPr>
                <w:sz w:val="18"/>
                <w:szCs w:val="18"/>
              </w:rPr>
              <w:t xml:space="preserve">Actas de instalación de herramientas | Listas de asistencia y evaluaciones de capacitación | Certificados de capacitación</w:t>
            </w:r>
          </w:p>
        </w:tc>
        <w:tc>
          <w:tcPr>
            <w:tcW w:type="pct" w:w="1000"/>
          </w:tcPr>
          <w:p>
            <w:r>
              <w:rPr>
                <w:sz w:val="18"/>
                <w:szCs w:val="18"/>
              </w:rPr>
              <w:t xml:space="preserve">Disponibilidad de infraestructura tecnológica | Disponibilidad del personal municipal para capacitación | Compromiso de la administración municipal</w:t>
            </w:r>
          </w:p>
        </w:tc>
      </w:tr>
      <w:tr>
        <w:tc>
          <w:tcPr>
            <w:tcW w:type="pct" w:w="600"/>
          </w:tcPr>
          <w:p>
            <w:r>
              <w:rPr>
                <w:sz w:val="18"/>
                <w:szCs w:val="18"/>
              </w:rPr>
              <w:t xml:space="preserve">Componente 3: Operación y monitoreo</w:t>
            </w:r>
          </w:p>
        </w:tc>
        <w:tc>
          <w:tcPr>
            <w:tcW w:type="pct" w:w="1200"/>
          </w:tcPr>
          <w:p>
            <w:r>
              <w:rPr>
                <w:sz w:val="18"/>
                <w:szCs w:val="18"/>
              </w:rPr>
              <w:t xml:space="preserve">Seguimiento diario de acopio, control de calidad y reportes semanales</w:t>
            </w:r>
          </w:p>
        </w:tc>
        <w:tc>
          <w:tcPr>
            <w:tcW w:type="pct" w:w="1200"/>
          </w:tcPr>
          <w:p>
            <w:r>
              <w:rPr>
                <w:sz w:val="18"/>
                <w:szCs w:val="18"/>
              </w:rPr>
              <w:t xml:space="preserve">Reportes semanales generados (meta: 8) | Verificaciones cruzadas realizadas (meta: 40) | Incumplimientos identificados y corregidos (meta: &lt;5%)</w:t>
            </w:r>
          </w:p>
        </w:tc>
        <w:tc>
          <w:tcPr>
            <w:tcW w:type="pct" w:w="1000"/>
          </w:tcPr>
          <w:p>
            <w:r>
              <w:rPr>
                <w:sz w:val="18"/>
                <w:szCs w:val="18"/>
              </w:rPr>
              <w:t xml:space="preserve">Reportes semanales | Actas de verificación cruzada | Registros de no conformidades y acciones correctivas</w:t>
            </w:r>
          </w:p>
        </w:tc>
        <w:tc>
          <w:tcPr>
            <w:tcW w:type="pct" w:w="1000"/>
          </w:tcPr>
          <w:p>
            <w:r>
              <w:rPr>
                <w:sz w:val="18"/>
                <w:szCs w:val="18"/>
              </w:rPr>
              <w:t xml:space="preserve">Disponibilidad de materiales para acopio | Colaboración de proveedores | Cumplimiento de cronogramas de proyectos</w:t>
            </w:r>
          </w:p>
        </w:tc>
      </w:tr>
      <w:tr>
        <w:tc>
          <w:tcPr>
            <w:tcW w:type="pct" w:w="600"/>
          </w:tcPr>
          <w:p>
            <w:r>
              <w:rPr>
                <w:sz w:val="18"/>
                <w:szCs w:val="18"/>
              </w:rPr>
              <w:t xml:space="preserve">Componente 4: Cierre y entrega de informes</w:t>
            </w:r>
          </w:p>
        </w:tc>
        <w:tc>
          <w:tcPr>
            <w:tcW w:type="pct" w:w="1200"/>
          </w:tcPr>
          <w:p>
            <w:r>
              <w:rPr>
                <w:sz w:val="18"/>
                <w:szCs w:val="18"/>
              </w:rPr>
              <w:t xml:space="preserve">Consolidación de resultados y recomendaciones</w:t>
            </w:r>
          </w:p>
        </w:tc>
        <w:tc>
          <w:tcPr>
            <w:tcW w:type="pct" w:w="1200"/>
          </w:tcPr>
          <w:p>
            <w:r>
              <w:rPr>
                <w:sz w:val="18"/>
                <w:szCs w:val="18"/>
              </w:rPr>
              <w:t xml:space="preserve">Informe final entregado (meta: 1) | Recomendaciones implementadas (meta: 80%) | Lecciones aprendidas documentadas (meta: 5)</w:t>
            </w:r>
          </w:p>
        </w:tc>
        <w:tc>
          <w:tcPr>
            <w:tcW w:type="pct" w:w="1000"/>
          </w:tcPr>
          <w:p>
            <w:r>
              <w:rPr>
                <w:sz w:val="18"/>
                <w:szCs w:val="18"/>
              </w:rPr>
              <w:t xml:space="preserve">Informe final | Actas de seguimiento a recomendaciones | Documento de lecciones aprendidas</w:t>
            </w:r>
          </w:p>
        </w:tc>
        <w:tc>
          <w:tcPr>
            <w:tcW w:type="pct" w:w="1000"/>
          </w:tcPr>
          <w:p>
            <w:r>
              <w:rPr>
                <w:sz w:val="18"/>
                <w:szCs w:val="18"/>
              </w:rPr>
              <w:t xml:space="preserve">Disponibilidad de información consolidada | Aprobación de informe por parte de la entidad | Compromiso de implementación de recomendaciones</w:t>
            </w:r>
          </w:p>
        </w:tc>
      </w:tr>
      <w:tr>
        <w:tc>
          <w:tcPr>
            <w:tcW w:type="pct" w:w="600"/>
          </w:tcPr>
          <w:p>
            <w:r>
              <w:rPr>
                <w:sz w:val="18"/>
                <w:szCs w:val="18"/>
              </w:rPr>
              <w:t xml:space="preserve">Actividades</w:t>
            </w:r>
          </w:p>
        </w:tc>
        <w:tc>
          <w:tcPr>
            <w:tcW w:type="pct" w:w="1200"/>
          </w:tcPr>
          <w:p>
            <w:r>
              <w:rPr>
                <w:sz w:val="18"/>
                <w:szCs w:val="18"/>
              </w:rPr>
              <w:t xml:space="preserve">Actividades clave por componente: Diagnóstico (reconocimiento de núcleos, diseño de protocolos), Implementación (instalación herramientas, capacitación), Operación (seguimiento diario, control calidad), Cierre (consolidación, informe final)</w:t>
            </w:r>
          </w:p>
        </w:tc>
        <w:tc>
          <w:tcPr>
            <w:tcW w:type="pct" w:w="1200"/>
          </w:tcPr>
          <w:p>
            <w:r>
              <w:rPr>
                <w:sz w:val="18"/>
                <w:szCs w:val="18"/>
              </w:rPr>
              <w:t xml:space="preserve">Presupuesto asignado: $15.000.000 COP | Recursos humanos: 15 personas | Equipo tecnológico: 5 herramientas de registro</w:t>
            </w:r>
          </w:p>
        </w:tc>
        <w:tc>
          <w:tcPr>
            <w:tcW w:type="pct" w:w="1000"/>
          </w:tcPr>
          <w:p>
            <w:r>
              <w:rPr>
                <w:sz w:val="18"/>
                <w:szCs w:val="18"/>
              </w:rPr>
              <w:t xml:space="preserve">Registros de ejecución presupuestal | Actas de recursos humanos | Inventario de equipo tecnológico</w:t>
            </w:r>
          </w:p>
        </w:tc>
        <w:tc>
          <w:tcPr>
            <w:tcW w:type="pct" w:w="1000"/>
          </w:tcPr>
          <w:p>
            <w:r>
              <w:rPr>
                <w:sz w:val="18"/>
                <w:szCs w:val="18"/>
              </w:rPr>
              <w:t xml:space="preserve">Aprobación oportuna de recursos | Disponibilidad de personal capacitado | Funcionamiento adecuado del equipo tecnológico</w:t>
            </w:r>
          </w:p>
        </w:tc>
      </w:tr>
    </w:tbl>
    <w:p>
      <w:pPr>
        <w:pStyle w:val="Heading1"/>
        <w:spacing w:after="160" w:before="320"/>
      </w:pPr>
      <w:r>
        <w:t xml:space="preserve">Checklist de presentación</w:t>
      </w:r>
    </w:p>
    <w:p>
      <w:pPr>
        <w:pStyle w:val="Heading2"/>
        <w:spacing w:after="80" w:before="200"/>
      </w:pPr>
      <w:r>
        <w:t xml:space="preserve">Documentos administrativos</w:t>
      </w:r>
    </w:p>
    <w:p>
      <w:pPr>
        <w:pStyle w:val="ListParagraph"/>
        <w:numPr>
          <w:ilvl w:val="0"/>
          <w:numId w:val="1"/>
        </w:numPr>
        <w:spacing w:after="60"/>
      </w:pPr>
      <w:r>
        <w:t xml:space="preserve">[Obligatorio] RUT vigente</w:t>
      </w:r>
    </w:p>
    <w:p>
      <w:pPr>
        <w:pStyle w:val="ListParagraph"/>
        <w:numPr>
          <w:ilvl w:val="0"/>
          <w:numId w:val="1"/>
        </w:numPr>
        <w:spacing w:after="60"/>
      </w:pPr>
      <w:r>
        <w:t xml:space="preserve">[Obligatorio] Certificado de existencia y representación legal</w:t>
      </w:r>
    </w:p>
    <w:p>
      <w:pPr>
        <w:pStyle w:val="ListParagraph"/>
        <w:numPr>
          <w:ilvl w:val="0"/>
          <w:numId w:val="1"/>
        </w:numPr>
        <w:spacing w:after="60"/>
      </w:pPr>
      <w:r>
        <w:t xml:space="preserve">[Obligatorio] RUP vigente</w:t>
      </w:r>
    </w:p>
    <w:p>
      <w:pPr>
        <w:pStyle w:val="ListParagraph"/>
        <w:numPr>
          <w:ilvl w:val="0"/>
          <w:numId w:val="1"/>
        </w:numPr>
        <w:spacing w:after="60"/>
      </w:pPr>
      <w:r>
        <w:t xml:space="preserve">[Obligatorio] Estados financieros certificados</w:t>
      </w:r>
    </w:p>
    <w:p>
      <w:pPr>
        <w:pStyle w:val="ListParagraph"/>
        <w:numPr>
          <w:ilvl w:val="0"/>
          <w:numId w:val="1"/>
        </w:numPr>
        <w:spacing w:after="60"/>
      </w:pPr>
      <w:r>
        <w:t xml:space="preserve">[Obligatorio] Certificación bancaria</w:t>
      </w:r>
    </w:p>
    <w:p>
      <w:pPr>
        <w:pStyle w:val="ListParagraph"/>
        <w:numPr>
          <w:ilvl w:val="0"/>
          <w:numId w:val="1"/>
        </w:numPr>
        <w:spacing w:after="60"/>
      </w:pPr>
      <w:r>
        <w:t xml:space="preserve">[Obligatorio] Póliza de responsabilidad civil vigente</w:t>
      </w:r>
    </w:p>
    <w:p>
      <w:pPr>
        <w:pStyle w:val="Heading2"/>
        <w:spacing w:after="80" w:before="200"/>
      </w:pPr>
      <w:r>
        <w:t xml:space="preserve">Antes de enviar</w:t>
      </w:r>
    </w:p>
    <w:p>
      <w:pPr>
        <w:pStyle w:val="ListParagraph"/>
        <w:numPr>
          <w:ilvl w:val="0"/>
          <w:numId w:val="1"/>
        </w:numPr>
        <w:spacing w:after="60"/>
      </w:pPr>
      <w:r>
        <w:t xml:space="preserve">[Obligatorio] Verificar disponibilidad de recursos humanos para el contrato</w:t>
      </w:r>
    </w:p>
    <w:p>
      <w:pPr>
        <w:pStyle w:val="ListParagraph"/>
        <w:numPr>
          <w:ilvl w:val="0"/>
          <w:numId w:val="1"/>
        </w:numPr>
        <w:spacing w:after="60"/>
      </w:pPr>
      <w:r>
        <w:t xml:space="preserve">[Obligatorio] Confirmar capacidad operativa en municipio de Pacho</w:t>
      </w:r>
    </w:p>
    <w:p>
      <w:pPr>
        <w:pStyle w:val="ListParagraph"/>
        <w:numPr>
          <w:ilvl w:val="0"/>
          <w:numId w:val="1"/>
        </w:numPr>
        <w:spacing w:after="60"/>
      </w:pPr>
      <w:r>
        <w:t xml:space="preserve">[Obligatorio] Validar estructura económica con rangos permitidos</w:t>
      </w:r>
    </w:p>
    <w:p>
      <w:pPr>
        <w:pStyle w:val="ListParagraph"/>
        <w:numPr>
          <w:ilvl w:val="0"/>
          <w:numId w:val="1"/>
        </w:numPr>
        <w:spacing w:after="60"/>
      </w:pPr>
      <w:r>
        <w:t xml:space="preserve">[Obligatorio] Asegurar documentos pendientes estén en proceso de actualización</w:t>
      </w:r>
    </w:p>
    <w:p>
      <w:pPr>
        <w:spacing w:after="120"/>
      </w:pPr>
    </w:p>
    <w:p>
      <w:pPr>
        <w:pBdr>
          <w:top w:val="single" w:color="D1D5DB" w:sz="6"/>
        </w:pBdr>
        <w:spacing w:before="200"/>
      </w:pPr>
      <w:r>
        <w:rPr>
          <w:i/>
          <w:iCs/>
          <w:color w:val="6B7280"/>
          <w:sz w:val="18"/>
          <w:szCs w:val="18"/>
        </w:rPr>
        <w:t xml:space="preserve">Nota: este borrador fue generado automáticamente con la información registrada de la empresa. Todo marcador [POR CONFIRMAR] debe diligenciarse antes de la presentación. La presentación en SECOP II se realiza por la empresa y exige aprobación humana explícita.</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v11 — PRESTACION DE SERVICIOS DE APOYO</dc:title>
  <dc:creator>SECOP Radar — Agente Proyectista</dc:creator>
  <cp:lastModifiedBy>Un-named</cp:lastModifiedBy>
  <cp:revision>1</cp:revision>
  <dcterms:created xsi:type="dcterms:W3CDTF">2026-10-05T01:43:00.251Z</dcterms:created>
  <dcterms:modified xsi:type="dcterms:W3CDTF">2026-10-05T01:43:00.251Z</dcterms:modified>
</cp:coreProperties>
</file>

<file path=docProps/custom.xml><?xml version="1.0" encoding="utf-8"?>
<Properties xmlns="http://schemas.openxmlformats.org/officeDocument/2006/custom-properties" xmlns:vt="http://schemas.openxmlformats.org/officeDocument/2006/docPropsVTypes"/>
</file>