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39C42">
      <w:pPr>
        <w:jc w:val="right"/>
        <w:rPr>
          <w:rFonts w:hint="eastAsia" w:ascii="宋体" w:hAnsi="宋体" w:eastAsia="宋体"/>
          <w:b/>
          <w:sz w:val="44"/>
          <w:szCs w:val="44"/>
        </w:rPr>
      </w:pPr>
      <w:bookmarkStart w:id="1" w:name="_GoBack"/>
      <w:bookmarkEnd w:id="1"/>
    </w:p>
    <w:p w14:paraId="549E732E">
      <w:pPr>
        <w:jc w:val="center"/>
        <w:rPr>
          <w:rFonts w:hint="eastAsia" w:ascii="宋体" w:hAnsi="宋体" w:eastAsia="宋体"/>
          <w:b/>
          <w:sz w:val="44"/>
          <w:szCs w:val="44"/>
        </w:rPr>
      </w:pPr>
    </w:p>
    <w:p w14:paraId="5DB5986E">
      <w:pPr>
        <w:jc w:val="center"/>
        <w:rPr>
          <w:rFonts w:hint="eastAsia" w:ascii="宋体" w:hAnsi="宋体" w:eastAsia="宋体"/>
          <w:b/>
          <w:sz w:val="44"/>
          <w:szCs w:val="44"/>
        </w:rPr>
      </w:pPr>
    </w:p>
    <w:p w14:paraId="1AA5A34F">
      <w:pPr>
        <w:jc w:val="center"/>
        <w:rPr>
          <w:rFonts w:hint="eastAsia" w:ascii="宋体" w:hAnsi="宋体" w:eastAsia="宋体"/>
          <w:b/>
          <w:sz w:val="44"/>
          <w:szCs w:val="44"/>
        </w:rPr>
      </w:pPr>
    </w:p>
    <w:p w14:paraId="5F76BE07">
      <w:pPr>
        <w:jc w:val="center"/>
        <w:rPr>
          <w:rFonts w:hint="eastAsia" w:ascii="黑体" w:hAnsi="黑体" w:eastAsia="黑体"/>
          <w:b/>
          <w:sz w:val="44"/>
          <w:szCs w:val="44"/>
        </w:rPr>
      </w:pPr>
      <w:r>
        <w:rPr>
          <w:rFonts w:hint="eastAsia" w:ascii="黑体" w:hAnsi="黑体" w:eastAsia="黑体"/>
          <w:b/>
          <w:sz w:val="44"/>
          <w:szCs w:val="44"/>
        </w:rPr>
        <w:t>软件开发综合能力实践（领域软件技术）报告</w:t>
      </w:r>
    </w:p>
    <w:p w14:paraId="6964F273">
      <w:pPr>
        <w:jc w:val="center"/>
        <w:rPr>
          <w:rFonts w:hint="eastAsia" w:ascii="黑体" w:hAnsi="黑体" w:eastAsia="黑体"/>
          <w:sz w:val="28"/>
          <w:szCs w:val="28"/>
        </w:rPr>
      </w:pPr>
    </w:p>
    <w:p w14:paraId="60B612CC">
      <w:pPr>
        <w:jc w:val="center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课程编号：</w:t>
      </w:r>
      <w:r>
        <w:fldChar w:fldCharType="begin"/>
      </w:r>
      <w:r>
        <w:instrText xml:space="preserve"> HYPERLINK "http://bkjw.chd.edu.cn/eams/courseTableForTeacher!taskTable.action?lesson.id=384622" \o "点击显示单个教学任务具体安排" </w:instrText>
      </w:r>
      <w:r>
        <w:fldChar w:fldCharType="separate"/>
      </w:r>
      <w:r>
        <w:rPr>
          <w:rFonts w:ascii="黑体" w:hAnsi="黑体" w:eastAsia="黑体"/>
          <w:sz w:val="28"/>
          <w:szCs w:val="28"/>
        </w:rPr>
        <w:t>24SJ5204</w:t>
      </w:r>
      <w:r>
        <w:rPr>
          <w:rFonts w:ascii="黑体" w:hAnsi="黑体" w:eastAsia="黑体"/>
          <w:sz w:val="28"/>
          <w:szCs w:val="28"/>
        </w:rPr>
        <w:fldChar w:fldCharType="end"/>
      </w:r>
    </w:p>
    <w:p w14:paraId="43FC00F7">
      <w:pPr>
        <w:ind w:firstLine="1440" w:firstLineChars="400"/>
        <w:rPr>
          <w:rFonts w:hint="eastAsia" w:ascii="宋体" w:hAnsi="宋体" w:eastAsia="宋体"/>
          <w:sz w:val="36"/>
          <w:szCs w:val="36"/>
        </w:rPr>
      </w:pPr>
    </w:p>
    <w:p w14:paraId="35BDC9F0">
      <w:pPr>
        <w:ind w:firstLine="1440" w:firstLineChars="400"/>
        <w:rPr>
          <w:rFonts w:hint="eastAsia" w:ascii="宋体" w:hAnsi="宋体" w:eastAsia="宋体"/>
          <w:sz w:val="36"/>
          <w:szCs w:val="36"/>
        </w:rPr>
      </w:pPr>
    </w:p>
    <w:p w14:paraId="4CF8DD98">
      <w:pPr>
        <w:ind w:firstLine="1440" w:firstLineChars="400"/>
        <w:rPr>
          <w:rFonts w:hint="eastAsia" w:ascii="宋体" w:hAnsi="宋体" w:eastAsia="宋体"/>
          <w:sz w:val="36"/>
          <w:szCs w:val="36"/>
        </w:rPr>
      </w:pPr>
      <w:r>
        <w:rPr>
          <w:rFonts w:hint="eastAsia" w:ascii="宋体" w:hAnsi="宋体" w:eastAsia="宋体"/>
          <w:sz w:val="36"/>
          <w:szCs w:val="36"/>
        </w:rPr>
        <w:t xml:space="preserve">专 </w:t>
      </w:r>
      <w:r>
        <w:rPr>
          <w:rFonts w:ascii="宋体" w:hAnsi="宋体" w:eastAsia="宋体"/>
          <w:sz w:val="36"/>
          <w:szCs w:val="36"/>
        </w:rPr>
        <w:t xml:space="preserve">   </w:t>
      </w:r>
      <w:r>
        <w:rPr>
          <w:rFonts w:hint="eastAsia" w:ascii="宋体" w:hAnsi="宋体" w:eastAsia="宋体"/>
          <w:sz w:val="36"/>
          <w:szCs w:val="36"/>
        </w:rPr>
        <w:t>业：软件工程</w:t>
      </w:r>
    </w:p>
    <w:p w14:paraId="0259EF28">
      <w:pPr>
        <w:ind w:firstLine="1440" w:firstLineChars="400"/>
        <w:rPr>
          <w:rFonts w:hint="eastAsia" w:ascii="宋体" w:hAnsi="宋体" w:eastAsia="宋体"/>
          <w:sz w:val="36"/>
          <w:szCs w:val="36"/>
        </w:rPr>
      </w:pPr>
      <w:r>
        <w:rPr>
          <w:rFonts w:hint="eastAsia" w:ascii="宋体" w:hAnsi="宋体" w:eastAsia="宋体"/>
          <w:sz w:val="36"/>
          <w:szCs w:val="36"/>
        </w:rPr>
        <w:t xml:space="preserve">年 </w:t>
      </w:r>
      <w:r>
        <w:rPr>
          <w:rFonts w:ascii="宋体" w:hAnsi="宋体" w:eastAsia="宋体"/>
          <w:sz w:val="36"/>
          <w:szCs w:val="36"/>
        </w:rPr>
        <w:t xml:space="preserve">   </w:t>
      </w:r>
      <w:r>
        <w:rPr>
          <w:rFonts w:hint="eastAsia" w:ascii="宋体" w:hAnsi="宋体" w:eastAsia="宋体"/>
          <w:sz w:val="36"/>
          <w:szCs w:val="36"/>
        </w:rPr>
        <w:t>级：</w:t>
      </w:r>
      <w:r>
        <w:rPr>
          <w:rFonts w:ascii="宋体" w:hAnsi="宋体" w:eastAsia="宋体"/>
          <w:sz w:val="36"/>
          <w:szCs w:val="36"/>
        </w:rPr>
        <w:t>2023</w:t>
      </w:r>
      <w:r>
        <w:rPr>
          <w:rFonts w:hint="eastAsia" w:ascii="宋体" w:hAnsi="宋体" w:eastAsia="宋体"/>
          <w:sz w:val="36"/>
          <w:szCs w:val="36"/>
        </w:rPr>
        <w:t>级</w:t>
      </w:r>
    </w:p>
    <w:p w14:paraId="4F388A54">
      <w:pPr>
        <w:ind w:firstLine="1440" w:firstLineChars="400"/>
        <w:rPr>
          <w:rFonts w:hint="eastAsia" w:ascii="宋体" w:hAnsi="宋体" w:eastAsia="宋体"/>
          <w:sz w:val="36"/>
          <w:szCs w:val="36"/>
        </w:rPr>
      </w:pPr>
      <w:r>
        <w:rPr>
          <w:rFonts w:hint="eastAsia" w:ascii="宋体" w:hAnsi="宋体" w:eastAsia="宋体"/>
          <w:sz w:val="36"/>
          <w:szCs w:val="36"/>
        </w:rPr>
        <w:t>组    长：（待填）</w:t>
      </w:r>
    </w:p>
    <w:p w14:paraId="471F8638">
      <w:pPr>
        <w:ind w:firstLine="1440" w:firstLineChars="400"/>
        <w:rPr>
          <w:rFonts w:hint="eastAsia" w:ascii="宋体" w:hAnsi="宋体" w:eastAsia="宋体"/>
          <w:sz w:val="36"/>
          <w:szCs w:val="36"/>
        </w:rPr>
      </w:pPr>
      <w:r>
        <w:rPr>
          <w:rFonts w:hint="eastAsia" w:ascii="宋体" w:hAnsi="宋体" w:eastAsia="宋体"/>
          <w:sz w:val="36"/>
          <w:szCs w:val="36"/>
        </w:rPr>
        <w:t>团队成员：（待填）</w:t>
      </w:r>
    </w:p>
    <w:p w14:paraId="1F6CEAB0">
      <w:pPr>
        <w:ind w:firstLine="1120" w:firstLineChars="400"/>
        <w:rPr>
          <w:rFonts w:hint="eastAsia" w:ascii="宋体" w:hAnsi="宋体" w:eastAsia="宋体"/>
          <w:sz w:val="28"/>
          <w:szCs w:val="28"/>
        </w:rPr>
      </w:pPr>
    </w:p>
    <w:p w14:paraId="30741B55">
      <w:pPr>
        <w:rPr>
          <w:rFonts w:hint="eastAsia" w:ascii="宋体" w:hAnsi="宋体" w:eastAsia="宋体"/>
          <w:sz w:val="28"/>
          <w:szCs w:val="28"/>
        </w:rPr>
      </w:pPr>
    </w:p>
    <w:p w14:paraId="71496AF6">
      <w:pPr>
        <w:rPr>
          <w:rFonts w:hint="eastAsia" w:ascii="宋体" w:hAnsi="宋体" w:eastAsia="宋体"/>
          <w:sz w:val="28"/>
          <w:szCs w:val="28"/>
        </w:rPr>
      </w:pPr>
    </w:p>
    <w:p w14:paraId="28994C77">
      <w:pPr>
        <w:rPr>
          <w:rFonts w:hint="eastAsia" w:ascii="宋体" w:hAnsi="宋体" w:eastAsia="宋体"/>
          <w:sz w:val="28"/>
          <w:szCs w:val="28"/>
        </w:rPr>
      </w:pPr>
    </w:p>
    <w:p w14:paraId="1C1736B1">
      <w:pPr>
        <w:rPr>
          <w:rFonts w:hint="eastAsia" w:ascii="宋体" w:hAnsi="宋体" w:eastAsia="宋体"/>
          <w:sz w:val="28"/>
          <w:szCs w:val="28"/>
        </w:rPr>
      </w:pPr>
    </w:p>
    <w:p w14:paraId="4199E663">
      <w:pPr>
        <w:jc w:val="center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 xml:space="preserve">2026  年  10  月 </w:t>
      </w:r>
      <w:r>
        <w:rPr>
          <w:rFonts w:ascii="宋体" w:hAnsi="宋体" w:eastAsia="宋体"/>
          <w:sz w:val="28"/>
          <w:szCs w:val="28"/>
        </w:rPr>
        <w:tab/>
      </w:r>
      <w:r>
        <w:rPr>
          <w:rFonts w:ascii="宋体" w:hAnsi="宋体" w:eastAsia="宋体"/>
          <w:sz w:val="28"/>
          <w:szCs w:val="28"/>
        </w:rPr>
        <w:t>30  日</w:t>
      </w:r>
    </w:p>
    <w:p w14:paraId="482845BF">
      <w:pPr>
        <w:rPr>
          <w:rFonts w:hint="eastAsia"/>
        </w:rPr>
      </w:pPr>
    </w:p>
    <w:p w14:paraId="2D352313">
      <w:pPr>
        <w:rPr>
          <w:rFonts w:hint="eastAsia" w:ascii="微软雅黑" w:hAnsi="微软雅黑" w:eastAsia="微软雅黑" w:cs="微软雅黑"/>
          <w:b/>
          <w:bCs/>
          <w:sz w:val="24"/>
          <w:szCs w:val="24"/>
        </w:rPr>
      </w:pPr>
    </w:p>
    <w:sdt>
      <w:sdtPr>
        <w:rPr>
          <w:rFonts w:ascii="宋体" w:hAnsi="宋体" w:eastAsia="宋体" w:cs="Times New Roman"/>
          <w:szCs w:val="21"/>
        </w:rPr>
        <w:id w:val="408476733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宋体" w:cs="Times New Roman"/>
          <w:b/>
          <w:sz w:val="24"/>
          <w:szCs w:val="21"/>
        </w:rPr>
      </w:sdtEndPr>
      <w:sdtContent>
        <w:p w14:paraId="6A8F6911">
          <w:pPr>
            <w:adjustRightInd w:val="0"/>
            <w:jc w:val="center"/>
            <w:textAlignment w:val="baseline"/>
            <w:rPr>
              <w:rFonts w:ascii="Times New Roman" w:hAnsi="Times New Roman" w:eastAsia="宋体" w:cs="Times New Roman"/>
              <w:sz w:val="24"/>
              <w:szCs w:val="21"/>
            </w:rPr>
          </w:pPr>
          <w:r>
            <w:rPr>
              <w:rFonts w:hint="eastAsia" w:ascii="宋体" w:hAnsi="宋体" w:eastAsia="宋体" w:cs="Times New Roman"/>
              <w:szCs w:val="21"/>
            </w:rPr>
            <w:t>目录</w:t>
          </w:r>
        </w:p>
        <w:p w14:paraId="1ABE90DD">
          <w:pPr>
            <w:rPr>
              <w:rFonts w:hint="eastAsia"/>
              <w:lang w:eastAsia="zh-Hans"/>
            </w:rPr>
            <w:sectPr>
              <w:headerReference r:id="rId3" w:type="default"/>
              <w:footerReference r:id="rId4" w:type="default"/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rPr>
              <w:rFonts w:hint="eastAsia" w:ascii="Times New Roman" w:hAnsi="Times New Roman" w:eastAsia="宋体" w:cs="Times New Roman"/>
              <w:b/>
              <w:sz w:val="24"/>
              <w:szCs w:val="21"/>
            </w:rPr>
            <w:br w:type="page"/>
          </w:r>
        </w:p>
      </w:sdtContent>
    </w:sdt>
    <w:p w14:paraId="1BC8200A">
      <w:pPr>
        <w:keepNext/>
        <w:keepLines/>
        <w:adjustRightInd w:val="0"/>
        <w:spacing w:before="156" w:beforeLines="50" w:after="156" w:afterLines="50"/>
        <w:jc w:val="center"/>
        <w:textAlignment w:val="baseline"/>
        <w:outlineLvl w:val="0"/>
        <w:rPr>
          <w:rFonts w:ascii="Times New Roman" w:hAnsi="Times New Roman" w:eastAsia="Heiti SC Medium" w:cs="Times New Roman"/>
          <w:kern w:val="44"/>
          <w:sz w:val="32"/>
          <w:szCs w:val="21"/>
          <w:lang w:eastAsia="zh-Hans"/>
        </w:rPr>
      </w:pPr>
      <w:bookmarkStart w:id="0" w:name="_Toc2042246764"/>
      <w:r>
        <w:rPr>
          <w:rFonts w:hint="eastAsia" w:ascii="Times New Roman" w:hAnsi="Times New Roman" w:eastAsia="Heiti SC Medium" w:cs="Times New Roman"/>
          <w:kern w:val="44"/>
          <w:sz w:val="32"/>
          <w:szCs w:val="21"/>
          <w:lang w:eastAsia="zh-Hans"/>
        </w:rPr>
        <w:t>第三部分  详细设计</w:t>
      </w:r>
      <w:bookmarkEnd w:id="0"/>
    </w:p>
    <w:p w14:paraId="5BE6D89F">
      <w:pPr>
        <w:spacing w:before="200"/>
        <w:jc w:val="left"/>
        <w:rPr>
          <w:rFonts w:hint="eastAsia"/>
        </w:rPr>
      </w:pPr>
      <w:r>
        <w:rPr>
          <w:rFonts w:ascii="Times New Roman" w:hAnsi="Times New Roman" w:eastAsia="黑体"/>
          <w:sz w:val="28"/>
        </w:rPr>
        <w:t xml:space="preserve">3.1 引言</w:t>
      </w:r>
    </w:p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3.1.1 编写目的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本文档是“基于图像与视频技术的停车场收费系统”的详细设计文档。文档在概要设计确定的体系结构与模块划分基础上，给出各模块的类结构、方法签名、处理流程、数据库脚本、界面控件与事件、算法伪代码和单元测试设计，作为编码实现、模块联调与课程验收的直接依据。</w:t>
      </w:r>
    </w:p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3.1.2 设计范围与编码约定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（1）开发语言 Python 3.10，编码遵循 PEP 8，模块内按“常量—类—函数”排序；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（2）类名使用大驼峰，方法与变量使用小写加下划线，常量全大写；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（3）对外方法必须标注参数与返回类型，异常使用 3.7.3 定义的自定义异常类；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（4）金额统一使用 Decimal，时间统一使用 aware datetime，禁止用字符串比较时间；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（5）数据库访问只允许出现在 data 包内，业务层不得拼接 SQL；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（6）单元测试放在 tests/ 目录，文件名与模块同名并加 test_ 前缀。</w:t>
      </w:r>
    </w:p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3.1.3 术语</w:t>
      </w:r>
    </w:p>
    <w:tbl>
      <w:tblPr>
        <w:tblStyle w:val="5"/>
        <w:tblW w:w="827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6350"/>
      </w:tblGrid>
      <w:tr w14:paraId="6F11AA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blHeader/>
        </w:trPr>
        <w:tc>
          <w:tcPr>
            <w:tcW w:w="4153" w:type="dxa"/>
          </w:tcPr>
          <w:p w14:paraId="569CF52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术语</w:t>
            </w:r>
          </w:p>
        </w:tc>
        <w:tc>
          <w:tcPr>
            <w:tcW w:w="4153" w:type="dxa"/>
          </w:tcPr>
          <w:p w14:paraId="5E75FA5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说明</w:t>
            </w:r>
          </w:p>
        </w:tc>
      </w:tr>
      <w:tr w14:paraId="6F11AA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4153" w:type="dxa"/>
          </w:tcPr>
          <w:p w14:paraId="569CF52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PlateResult</w:t>
            </w:r>
          </w:p>
        </w:tc>
        <w:tc>
          <w:tcPr>
            <w:tcW w:w="4153" w:type="dxa"/>
          </w:tcPr>
          <w:p w14:paraId="5E75FA5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识别结果对象：车牌号、置信度、车牌框、耗时</w:t>
            </w:r>
          </w:p>
        </w:tc>
      </w:tr>
      <w:tr w14:paraId="6F11AA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4153" w:type="dxa"/>
          </w:tcPr>
          <w:p w14:paraId="569CF52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ExitBill</w:t>
            </w:r>
          </w:p>
        </w:tc>
        <w:tc>
          <w:tcPr>
            <w:tcW w:w="4153" w:type="dxa"/>
          </w:tcPr>
          <w:p w14:paraId="5E75FA5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出场账单对象：车牌、进场时间、停放时长、费用、计费明细</w:t>
            </w:r>
          </w:p>
        </w:tc>
      </w:tr>
      <w:tr w14:paraId="6F11AA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4153" w:type="dxa"/>
          </w:tcPr>
          <w:p w14:paraId="569CF52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FeeBreakdown</w:t>
            </w:r>
          </w:p>
        </w:tc>
        <w:tc>
          <w:tcPr>
            <w:tcW w:w="4153" w:type="dxa"/>
          </w:tcPr>
          <w:p w14:paraId="5E75FA5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计费明细：免费抵扣、计费小时数、封顶金额、分日明细</w:t>
            </w:r>
          </w:p>
        </w:tc>
      </w:tr>
      <w:tr w14:paraId="6F11AA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4153" w:type="dxa"/>
          </w:tcPr>
          <w:p w14:paraId="569CF52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Repository</w:t>
            </w:r>
          </w:p>
        </w:tc>
        <w:tc>
          <w:tcPr>
            <w:tcW w:w="4153" w:type="dxa"/>
          </w:tcPr>
          <w:p w14:paraId="5E75FA5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数据访问对象，封装单张表的 SQL</w:t>
            </w:r>
          </w:p>
        </w:tc>
      </w:tr>
      <w:tr w14:paraId="6F11AA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4153" w:type="dxa"/>
          </w:tcPr>
          <w:p w14:paraId="569CF52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幂等键</w:t>
            </w:r>
          </w:p>
        </w:tc>
        <w:tc>
          <w:tcPr>
            <w:tcW w:w="4153" w:type="dxa"/>
          </w:tcPr>
          <w:p w14:paraId="5E75FA5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用于防止重复提交的业务键，本系统使用 record_id</w:t>
            </w:r>
          </w:p>
        </w:tc>
      </w:tr>
      <w:tr w14:paraId="6F11AA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4153" w:type="dxa"/>
          </w:tcPr>
          <w:p w14:paraId="569CF52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事务上下文</w:t>
            </w:r>
          </w:p>
        </w:tc>
        <w:tc>
          <w:tcPr>
            <w:tcW w:w="4153" w:type="dxa"/>
          </w:tcPr>
          <w:p w14:paraId="5E75FA5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with 语句块内的数据库操作要么全部提交、要么全部回滚</w:t>
            </w:r>
          </w:p>
        </w:tc>
      </w:tr>
    </w:tbl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3.1.4 参考资料</w:t>
      </w:r>
    </w:p>
    <w:p w14:paraId="7251E8A0">
      <w:pPr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• 《需求分析报告（系统需求说明书）》：1.3.2 功能需求、1.3.3 计费规则与算例、1.4.3 状态机、1.5.2 数据表、1.9 测试与数据模拟；</w:t>
      </w:r>
    </w:p>
    <w:p w14:paraId="7251E8A0">
      <w:pPr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• 《概要设计文档》：2.2 体系结构、2.3 模块划分、2.4 接口设计、2.6 关键技术与算法方案；</w:t>
      </w:r>
    </w:p>
    <w:p w14:paraId="7251E8A0">
      <w:pPr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• Python 3.10、PyQt5 5.15、SQLite 3、reportlab 4 官方文档。</w:t>
      </w:r>
    </w:p>
    <w:p w14:paraId="5BE6D89F">
      <w:pPr>
        <w:spacing w:before="200"/>
        <w:jc w:val="left"/>
        <w:rPr>
          <w:rFonts w:hint="eastAsia"/>
        </w:rPr>
      </w:pPr>
      <w:r>
        <w:rPr>
          <w:rFonts w:ascii="Times New Roman" w:hAnsi="Times New Roman" w:eastAsia="黑体"/>
          <w:sz w:val="28"/>
        </w:rPr>
        <w:t xml:space="preserve">3.2 系统结构细化</w:t>
      </w:r>
    </w:p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3.2.1 代码组织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代码按概要设计的分层结构组织为如下目录，包名与模块名一一对应，便于按模块分工开发与单元测试。</w:t>
      </w:r>
    </w:p>
    <w:p w14:paraId="1DB9FA7D">
      <w:pPr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parking_system/</w:t>
      </w:r>
    </w:p>
    <w:p w14:paraId="1DB9FA7D">
      <w:pPr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├── app.py                  # 程序入口：初始化数据库、加载配置、启动主窗口</w:t>
      </w:r>
    </w:p>
    <w:p w14:paraId="1DB9FA7D">
      <w:pPr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├── config.yaml             # 运行配置（阈值、路径、数据库、动画模式）</w:t>
      </w:r>
    </w:p>
    <w:p w14:paraId="1DB9FA7D">
      <w:pPr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├── requirements.txt</w:t>
      </w:r>
    </w:p>
    <w:p w14:paraId="1DB9FA7D">
      <w:pPr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├── parking/</w:t>
      </w:r>
    </w:p>
    <w:p w14:paraId="1DB9FA7D">
      <w:pPr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│   ├── config.py           # 配置加载与校验</w:t>
      </w:r>
    </w:p>
    <w:p w14:paraId="1DB9FA7D">
      <w:pPr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│   ├── common/</w:t>
      </w:r>
    </w:p>
    <w:p w14:paraId="1DB9FA7D">
      <w:pPr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│   │   ├── errors.py       # 错误码与异常类</w:t>
      </w:r>
    </w:p>
    <w:p w14:paraId="1DB9FA7D">
      <w:pPr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│   │   ├── logger.py       # 运行日志</w:t>
      </w:r>
    </w:p>
    <w:p w14:paraId="1DB9FA7D">
      <w:pPr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│   │   └── audit.py        # 审计日志</w:t>
      </w:r>
    </w:p>
    <w:p w14:paraId="1DB9FA7D">
      <w:pPr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│   ├── ui/</w:t>
      </w:r>
    </w:p>
    <w:p w14:paraId="1DB9FA7D">
      <w:pPr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│   │   ├── main_window.py      # 主界面</w:t>
      </w:r>
    </w:p>
    <w:p w14:paraId="1DB9FA7D">
      <w:pPr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│   │   ├── exit_dialog.py      # 出场缴费界面</w:t>
      </w:r>
    </w:p>
    <w:p w14:paraId="1DB9FA7D">
      <w:pPr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│   │   ├── fee_rule_dialog.py  # 收费标准管理</w:t>
      </w:r>
    </w:p>
    <w:p w14:paraId="1DB9FA7D">
      <w:pPr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│   │   └── report_window.py    # 统计报表</w:t>
      </w:r>
    </w:p>
    <w:p w14:paraId="1DB9FA7D">
      <w:pPr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│   ├── recognition/</w:t>
      </w:r>
    </w:p>
    <w:p w14:paraId="1DB9FA7D">
      <w:pPr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│   │   ├── preprocess.py   # 预处理</w:t>
      </w:r>
    </w:p>
    <w:p w14:paraId="1DB9FA7D">
      <w:pPr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│   │   ├── detector.py     # 车牌检测（YOLOv8）</w:t>
      </w:r>
    </w:p>
    <w:p w14:paraId="1DB9FA7D">
      <w:pPr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│   │   ├── reader.py       # 字符识别（EasyOCR）</w:t>
      </w:r>
    </w:p>
    <w:p w14:paraId="1DB9FA7D">
      <w:pPr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│   │   └── recognizer.py   # 识别门面 LicenseRecognizer</w:t>
      </w:r>
    </w:p>
    <w:p w14:paraId="1DB9FA7D">
      <w:pPr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│   ├── control/</w:t>
      </w:r>
    </w:p>
    <w:p w14:paraId="1DB9FA7D">
      <w:pPr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│   │   ├── state_machine.py    # 状态定义与迁移表</w:t>
      </w:r>
    </w:p>
    <w:p w14:paraId="1DB9FA7D">
      <w:pPr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│   │   ├── controller.py       # ParkingController 用例编排</w:t>
      </w:r>
    </w:p>
    <w:p w14:paraId="1DB9FA7D">
      <w:pPr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│   │   ├── entry_service.py    # 进场业务</w:t>
      </w:r>
    </w:p>
    <w:p w14:paraId="1DB9FA7D">
      <w:pPr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│   │   ├── exit_service.py     # 出场计费业务</w:t>
      </w:r>
    </w:p>
    <w:p w14:paraId="1DB9FA7D">
      <w:pPr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│   │   └── gate.py             # GateController 放行控制</w:t>
      </w:r>
    </w:p>
    <w:p w14:paraId="1DB9FA7D">
      <w:pPr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│   ├── billing/</w:t>
      </w:r>
    </w:p>
    <w:p w14:paraId="1DB9FA7D">
      <w:pPr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│   │   ├── fee_rule.py     # FeeRule 数据类</w:t>
      </w:r>
    </w:p>
    <w:p w14:paraId="1DB9FA7D">
      <w:pPr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│   │   └── calculator.py   # FeeCalculator 计费算法</w:t>
      </w:r>
    </w:p>
    <w:p w14:paraId="1DB9FA7D">
      <w:pPr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│   ├── report/</w:t>
      </w:r>
    </w:p>
    <w:p w14:paraId="1DB9FA7D">
      <w:pPr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│   │   ├── statistics.py   # 统计聚合</w:t>
      </w:r>
    </w:p>
    <w:p w14:paraId="1DB9FA7D">
      <w:pPr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│   │   └── exporter.py     # PDF 报表导出</w:t>
      </w:r>
    </w:p>
    <w:p w14:paraId="1DB9FA7D">
      <w:pPr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│   ├── data/</w:t>
      </w:r>
    </w:p>
    <w:p w14:paraId="1DB9FA7D">
      <w:pPr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│   │   ├── database.py     # 连接、事务、建表</w:t>
      </w:r>
    </w:p>
    <w:p w14:paraId="1DB9FA7D">
      <w:pPr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│   │   ├── models.py       # 数据模型</w:t>
      </w:r>
    </w:p>
    <w:p w14:paraId="1DB9FA7D">
      <w:pPr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│   │   └── repositories.py # 各表仓储</w:t>
      </w:r>
    </w:p>
    <w:p w14:paraId="1DB9FA7D">
      <w:pPr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│   └── anim/</w:t>
      </w:r>
    </w:p>
    <w:p w14:paraId="1DB9FA7D">
      <w:pPr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│       ├── base.py         # GateAnimator 接口</w:t>
      </w:r>
    </w:p>
    <w:p w14:paraId="1DB9FA7D">
      <w:pPr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│       └── video_player.py # VideoGateAnimator 实现</w:t>
      </w:r>
    </w:p>
    <w:p w14:paraId="1DB9FA7D">
      <w:pPr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├── resources/              # anim/、images/、fonts/</w:t>
      </w:r>
    </w:p>
    <w:p w14:paraId="1DB9FA7D">
      <w:pPr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├── tests/                  # test_calculator.py 等</w:t>
      </w:r>
    </w:p>
    <w:p w14:paraId="1DB9FA7D">
      <w:pPr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└── tools/                  # init_db.py、import_mock_data.py</w:t>
      </w:r>
    </w:p>
    <w:p w14:paraId="1DB9FA7D">
      <w:pPr>
        <w:spacing w:before="0" w:after="0" w:line="120" w:lineRule="auto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/>
      </w:r>
    </w:p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3.2.2 核心类关系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核心类之间的关系如图 5 所示：ParkingController 作为用例编排者，聚合识别、计费、仓储与放行四个协作者；FeeCalculator 依赖 FeeRule 完成计算；GateController 驱动 GateAnimator 播放动画；所有持久化经 Repository 进入 Database。</w:t>
      </w:r>
    </w:p>
    <w:p w14:paraId="1DB9FA7D">
      <w:pPr>
        <w:spacing w:before="120" w:after="40"/>
        <w:ind w:firstLine="0"/>
        <w:jc w:val="center"/>
        <w:rPr>
          <w:rFonts w:hint="eastAsia"/>
        </w:rPr>
      </w:pPr>
      <w:r>
        <w:rPr>
          <w:rFonts w:ascii="Times New Roman" w:hAnsi="Times New Roman" w:eastAsia="宋体"/>
          <w:sz w:val="24"/>
        </w:rPr>
        <w:drawing>
          <wp:inline xmlns:a="http://schemas.openxmlformats.org/drawingml/2006/main" xmlns:pic="http://schemas.openxmlformats.org/drawingml/2006/picture">
            <wp:extent cx="5112000" cy="3132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cla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329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DB9FA7D">
      <w:pPr>
        <w:spacing w:before="40"/>
        <w:jc w:val="center"/>
        <w:rPr>
          <w:rFonts w:hint="eastAsia"/>
        </w:rPr>
      </w:pPr>
      <w:r>
        <w:rPr>
          <w:rFonts w:ascii="Times New Roman" w:hAnsi="Times New Roman" w:eastAsia="宋体"/>
          <w:sz w:val="21"/>
        </w:rPr>
        <w:t xml:space="preserve">图 5 核心类关系图</w:t>
      </w:r>
    </w:p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3.2.3 类清单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系统中承担主要职责的类如下表，类的方法签名详见 3.3 各节；各功能需求与类、章节的对应关系见 3.11 设计追踪。</w:t>
      </w:r>
    </w:p>
    <w:tbl>
      <w:tblPr>
        <w:tblStyle w:val="5"/>
        <w:tblW w:w="827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2381"/>
        <w:gridCol w:w="3288"/>
      </w:tblGrid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类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职责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关键方法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Preprocessor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灰度化、降噪、letterbox 缩放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process(image) → ndarray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PlateDetector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YOLOv8 车牌检测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detect(image) → list[Box]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CharReader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字符识别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read(crop) → (text, conf)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LicenseRecognizer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识别门面，融合置信度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recognize(image) → PlateResult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ParkingStateMachine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状态迁移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transit(state, event) → (state, actions)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ParkingController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进场/出场用例编排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on_entry(image) / on_exit(image)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EntryService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重复校验与进场写库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enter(plate, image) → EntryResult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ExitService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出场查记录与计费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exit(plate) → ExitBill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FeeCalculator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计费算法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calculate(enter, exit, rule) → FeeBreakdown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GateController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放行判定与动画触发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release(record_id, operator, reason)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GateAnimator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动画播放接口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play_raise() / play_lower() / stop()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FeeRuleService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规则增删改查与校验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list / create / update / delete / validate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StatisticsService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按维度聚合统计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query(dimension, start, end)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ReportExporter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生成 PDF 报表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export_pdf(rows, path) → str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Database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连接、事务、建表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connect() / transaction() / init_schema()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RecordRepository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进出场记录读写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create_open / close / find_open / list_present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AuditLogger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写审计日志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log(action, target, before, after)</w:t>
            </w:r>
          </w:p>
        </w:tc>
      </w:tr>
    </w:tbl>
    <w:p w14:paraId="5BE6D89F">
      <w:pPr>
        <w:spacing w:before="200"/>
        <w:jc w:val="left"/>
        <w:rPr>
          <w:rFonts w:hint="eastAsia"/>
        </w:rPr>
      </w:pPr>
      <w:r>
        <w:rPr>
          <w:rFonts w:ascii="Times New Roman" w:hAnsi="Times New Roman" w:eastAsia="黑体"/>
          <w:sz w:val="28"/>
        </w:rPr>
        <w:t xml:space="preserve">3.3 模块详细设计</w:t>
      </w:r>
    </w:p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3.3.1 车牌识别模块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识别模块由预处理器、检测器、字符识别器与门面类组成。门面类对外只暴露 recognize 方法，内部完成预处理、检测、矫正、识别与置信度融合，调用方不感知具体模型。</w:t>
      </w:r>
    </w:p>
    <w:tbl>
      <w:tblPr>
        <w:tblStyle w:val="5"/>
        <w:tblW w:w="827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1587"/>
        <w:gridCol w:w="2381"/>
        <w:gridCol w:w="2154"/>
      </w:tblGrid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方法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输入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输出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说明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process(image)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BGR 图像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640×640 张量、缩放比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灰度化、降噪、letterbox，保持长宽比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detect(image)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预处理图像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车牌框列表（含检测置信度）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YOLOv8 推理，按置信度降序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read(crop)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矫正后的车牌图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(车牌号, 字符平均置信度)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EasyOCR 中文模型识别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recognize(image)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原始图像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PlateResult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串联上述步骤，置信度融合并判定</w:t>
            </w:r>
          </w:p>
        </w:tc>
      </w:tr>
    </w:tbl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处理步骤如下：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（1）读入图像，若为视频则取当前帧；图像为空时直接抛出 RecognitionError(E1001)；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（2）预处理：灰度化后做 3×3 高斯滤波，按 letterbox 缩放至 640×640，记录缩放比；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（3）检测：调用 YOLOv8 模型，取检测置信度最高的车牌框，按四点做透视变换矫正；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（4）识别：对矫正后的车牌图调用 EasyOCR，拼接为车牌号字符串并计算字符平均置信度；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（5）融合：最终置信度 = √(检测置信度 × 字符置信度)，不低于 0.80 判定为成功；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（6）失败：返回 None 并记录日志，由上层重试抓拍至多 3 次，仍失败则转人工录入。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识别参数集中放在配置文件中，调整参数不需要改代码，具体取值如下表。</w:t>
      </w:r>
    </w:p>
    <w:tbl>
      <w:tblPr>
        <w:tblStyle w:val="5"/>
        <w:tblW w:w="827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041"/>
        <w:gridCol w:w="4422"/>
      </w:tblGrid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参数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默认值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说明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det_conf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0.35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车牌检测置信度阈值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det_iou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0.45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非极大值抑制的 IOU 阈值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imgsz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640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推理输入尺寸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accept_conf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0.80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判定识别成功的融合置信度阈值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max_retry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3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识别失败后的最大重试次数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ocr_langs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ch_sim, en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EasyOCR 语言列表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device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cpu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推理设备，可选 cuda:0</w:t>
            </w:r>
          </w:p>
        </w:tc>
      </w:tr>
    </w:tbl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3.3.2 进出场控制模块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状态机把需求文档 1.4.3 的 10 个状态落为枚举，事件驱动迁移，迁移表以数据结构而非 if-else 表达，便于测试与扩展。</w:t>
      </w:r>
    </w:p>
    <w:tbl>
      <w:tblPr>
        <w:tblStyle w:val="5"/>
        <w:tblW w:w="827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2154"/>
        <w:gridCol w:w="4195"/>
      </w:tblGrid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状态枚举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含义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可迁移到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IDLE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待机，等待触发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RECOGNIZING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RECOGNIZING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识别中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RECOGNIZED / EXCEPTION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RECOGNIZED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已识别，等待分流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ENTERING / BILLING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ENTERING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进场登记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RELEASING / IDLE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RELEASING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抬杆放行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PARKED / EXITED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PARKED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车辆在场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RECOGNIZING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BILLING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出场计费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UNPAID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UNPAID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待缴费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RELEASING / UNPAID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EXITED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出场完成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IDLE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EXCEPTION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异常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IDLE</w:t>
            </w:r>
          </w:p>
        </w:tc>
      </w:tr>
    </w:tbl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事件与处理动作如下表，状态机只返回“下一状态 + 动作标识”，写库与动画由 ParkingController 执行。</w:t>
      </w:r>
    </w:p>
    <w:tbl>
      <w:tblPr>
        <w:tblStyle w:val="5"/>
        <w:tblW w:w="827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2381"/>
        <w:gridCol w:w="2948"/>
      </w:tblGrid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事件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触发点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处理动作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ENTRY_TRIGGER / EXIT_TRIGGER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界面按钮或视频帧检测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清空上一次识别结果，置 RECOGNIZING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RECOGNIZED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识别成功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按业务方向进入 ENTERING 或 BILLING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RECOGNIZE_FAILED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识别失败且重试耗尽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置 EXCEPTION，提示人工录入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ENTRY_CONFIRMED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重复校验通过并写入记录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置 RELEASING，触发抬杆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EXIT_BILLED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计费完成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置 UNPAID，弹出缴费界面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PAID / AUTHORIZED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缴费成功或管理员授权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置 RELEASING，记录放行方式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VEHICLE_PASSED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车辆通过判定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落杆，进场转 PARKED，出场转 EXITED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RESET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业务结束或异常恢复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回到 IDLE</w:t>
            </w:r>
          </w:p>
        </w:tc>
      </w:tr>
    </w:tbl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并发控制：同一车牌使用互斥锁（以车牌号为键的字典保存 Lock），保证同一时刻只有一个进场或出场事务；数据库层再用“未闭合记录唯一索引”兜底，避免并发下产生两条未闭合记录。</w:t>
      </w:r>
    </w:p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3.3.3 计费模块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FeeRule 为不可变数据类，由 fee_rule 表一行构造；FeeCalculator 为纯函数式组件，不访问数据库，便于单元测试与回归。</w:t>
      </w:r>
    </w:p>
    <w:tbl>
      <w:tblPr>
        <w:tblStyle w:val="5"/>
        <w:tblW w:w="827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1814"/>
        <w:gridCol w:w="4422"/>
      </w:tblGrid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FeeRule 字段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类型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说明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rule_id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int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规则编号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vehicle_type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str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适用车型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free_minutes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int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免费时长（分钟）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first_hours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int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首时段时长（小时）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first_price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Decimal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首时段价格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extra_price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Decimal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超时每小时单价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day_cap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Decimal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每日封顶金额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effective_time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datetime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生效时间，取最新一条</w:t>
            </w:r>
          </w:p>
        </w:tc>
      </w:tr>
    </w:tbl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计算过程如下（T 为停放分钟数，R 为规则）：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def calculate(enter_dt, exit_dt, rule):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minutes = int((exit_dt - enter_dt).total_seconds() // 60)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if minutes &lt; 0: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    raise ValueError('出场时间早于进场时间')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if minutes &lt;= rule.free_minutes: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    return FeeBreakdown(total=Decimal('0.00'), days=[0])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segments = split_by_natural_day(enter_dt, exit_dt)   # 按 0:00 切分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total = Decimal('0.00')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for seg_minutes in segments: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    total += _calc_one_day(seg_minutes, rule)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return FeeBreakdown(total=round_money(total), days=segments)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/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def _calc_one_day(minutes, rule):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billable = minutes - rule.free_minutes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if billable &lt;= 0: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    return Decimal('0.00')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over = billable - rule.first_hours * 60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if over &lt;= 0: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    fee = rule.first_price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else: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    fee = rule.first_price + ceil(over / 60) * rule.extra_price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return min(fee, rule.day_cap)</w:t>
      </w:r>
    </w:p>
    <w:p w14:paraId="1DB9FA7D">
      <w:pPr>
        <w:spacing w:before="0" w:after="0" w:line="120" w:lineRule="auto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/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边界与异常处理如下表，均已在单元测试中覆盖。</w:t>
      </w:r>
    </w:p>
    <w:tbl>
      <w:tblPr>
        <w:tblStyle w:val="5"/>
        <w:tblW w:w="827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4876"/>
      </w:tblGrid>
      <w:tr w14:paraId="6F11AA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blHeader/>
        </w:trPr>
        <w:tc>
          <w:tcPr>
            <w:tcW w:w="4153" w:type="dxa"/>
          </w:tcPr>
          <w:p w14:paraId="569CF52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场景</w:t>
            </w:r>
          </w:p>
        </w:tc>
        <w:tc>
          <w:tcPr>
            <w:tcW w:w="4153" w:type="dxa"/>
          </w:tcPr>
          <w:p w14:paraId="5E75FA5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处理</w:t>
            </w:r>
          </w:p>
        </w:tc>
      </w:tr>
      <w:tr w14:paraId="6F11AA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4153" w:type="dxa"/>
          </w:tcPr>
          <w:p w14:paraId="569CF52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停放时长为 0 或小于免费时长</w:t>
            </w:r>
          </w:p>
        </w:tc>
        <w:tc>
          <w:tcPr>
            <w:tcW w:w="4153" w:type="dxa"/>
          </w:tcPr>
          <w:p w14:paraId="5E75FA5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返回 0，不产生计费明细</w:t>
            </w:r>
          </w:p>
        </w:tc>
      </w:tr>
      <w:tr w14:paraId="6F11AA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4153" w:type="dxa"/>
          </w:tcPr>
          <w:p w14:paraId="569CF52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出场时间早于进场时间</w:t>
            </w:r>
          </w:p>
        </w:tc>
        <w:tc>
          <w:tcPr>
            <w:tcW w:w="4153" w:type="dxa"/>
          </w:tcPr>
          <w:p w14:paraId="5E75FA5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抛出 ValueError，事务回滚</w:t>
            </w:r>
          </w:p>
        </w:tc>
      </w:tr>
      <w:tr w14:paraId="6F11AA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4153" w:type="dxa"/>
          </w:tcPr>
          <w:p w14:paraId="569CF52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未配置收费标准</w:t>
            </w:r>
          </w:p>
        </w:tc>
        <w:tc>
          <w:tcPr>
            <w:tcW w:w="4153" w:type="dxa"/>
          </w:tcPr>
          <w:p w14:paraId="5E75FA5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抛出 BusinessError(E2004)，提示管理员配置</w:t>
            </w:r>
          </w:p>
        </w:tc>
      </w:tr>
      <w:tr w14:paraId="6F11AA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4153" w:type="dxa"/>
          </w:tcPr>
          <w:p w14:paraId="569CF52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跨自然日</w:t>
            </w:r>
          </w:p>
        </w:tc>
        <w:tc>
          <w:tcPr>
            <w:tcW w:w="4153" w:type="dxa"/>
          </w:tcPr>
          <w:p w14:paraId="5E75FA5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按 0:00 切分，逐段计算并逐日封顶后累加</w:t>
            </w:r>
          </w:p>
        </w:tc>
      </w:tr>
      <w:tr w14:paraId="6F11AA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4153" w:type="dxa"/>
          </w:tcPr>
          <w:p w14:paraId="569CF52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超出日封顶</w:t>
            </w:r>
          </w:p>
        </w:tc>
        <w:tc>
          <w:tcPr>
            <w:tcW w:w="4153" w:type="dxa"/>
          </w:tcPr>
          <w:p w14:paraId="5E75FA5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当日费用取 min(计算值, day_cap)</w:t>
            </w:r>
          </w:p>
        </w:tc>
      </w:tr>
      <w:tr w14:paraId="6F11AA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4153" w:type="dxa"/>
          </w:tcPr>
          <w:p w14:paraId="569CF52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金额精度</w:t>
            </w:r>
          </w:p>
        </w:tc>
        <w:tc>
          <w:tcPr>
            <w:tcW w:w="4153" w:type="dxa"/>
          </w:tcPr>
          <w:p w14:paraId="5E75FA5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Decimal 计算，ROUND_HALF_UP 保留 2 位</w:t>
            </w:r>
          </w:p>
        </w:tc>
      </w:tr>
    </w:tbl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3.3.4 出场信息显示模块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ExitDialog 负责展示车牌、停放时长、费用明细与进出场照片，并根据缴费状态控制按钮可用性。界面只读取 ExitBill，不重新计算费用。</w:t>
      </w:r>
    </w:p>
    <w:tbl>
      <w:tblPr>
        <w:tblStyle w:val="5"/>
        <w:tblW w:w="827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1928"/>
        <w:gridCol w:w="4309"/>
      </w:tblGrid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控件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类型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说明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lbl_plate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QLabel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车牌号，大号字体居中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lbl_duration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QLabel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停放时长，形如“3 小时 20 分”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tbl_fee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QTableWidget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计费明细：计费时长、免费抵扣、超时小时数、封顶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lbl_total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QLabel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应收金额，保留 2 位小数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pic_enter / pic_exit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QLabel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进出场照片缩略图，缺失时显示占位图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btn_pay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QPushButton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模拟缴费，成功后置灰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btn_release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QPushButton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放行；未缴费时禁用，管理员可授权</w:t>
            </w:r>
          </w:p>
        </w:tc>
      </w:tr>
    </w:tbl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照片加载失败或路径为空时显示“暂无照片”占位图，不弹出错误框，避免打断出场流程。</w:t>
      </w:r>
    </w:p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3.3.5 抬杆放行模块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放行判定按“缴费状态 → 授权 → 拒绝”的固定顺序执行，保证已缴费车辆自动放行、未缴费车辆必须留下授权痕迹。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def release(record_id, operator, reason=None):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record = record_repo.get(record_id)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if record is None: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    raise BusinessError(E2002, '记录不存在')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if record.pay_status == 1: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    release_type = 'auto'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elif reason:                       # 仅管理员可调用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    if not operator.is_admin: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        raise PermissionError(E5001)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    release_type = 'authorized'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else: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    return ReleaseResult(ok=False, code='E2003')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with db.transaction():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    record_repo.mark_released(record_id, release_type, operator.name)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    audit.log('release', f'record:{record_id}', None, release_type)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    animator.play_raise()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return ReleaseResult(ok=True, release_type=release_type)</w:t>
      </w:r>
    </w:p>
    <w:p w14:paraId="1DB9FA7D">
      <w:pPr>
        <w:spacing w:before="0" w:after="0" w:line="120" w:lineRule="auto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/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动画接口与实现类如下，业务只依赖 GateAnimator 接口，替换实现不影响调用方。</w:t>
      </w:r>
    </w:p>
    <w:tbl>
      <w:tblPr>
        <w:tblStyle w:val="5"/>
        <w:tblW w:w="827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1928"/>
        <w:gridCol w:w="3402"/>
      </w:tblGrid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类/接口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职责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说明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GateAnimator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播放接口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play_raise() / play_lower() / stop() / is_playing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VideoGateAnimator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视频实现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QMediaPlayer 播放 MP4，播放结束发 finished 信号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SequenceGateAnimator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序列帧实现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按 30fps 定时切换 PNG，适配低配机器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UnityGateAnimator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外部实现（可选）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通过本地 HTTP 触发 Unity 播放</w:t>
            </w:r>
          </w:p>
        </w:tc>
      </w:tr>
    </w:tbl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车辆通过判定提供三种方式，按配置选择：界面“车辆已通过”按钮、抬杆动画结束延时 2 s、视频中车辆驶出画面。判定成功后调用 play_lower() 落杆，并把状态推进到 PARKED 或 EXITED。</w:t>
      </w:r>
    </w:p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3.3.6 收费标准管理模块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FeeRuleService 负责规则的增删改查与参数校验，规则修改即时生效；历史停车记录保存计算时的费用，不随规则变化而改变。</w:t>
      </w:r>
    </w:p>
    <w:tbl>
      <w:tblPr>
        <w:tblStyle w:val="5"/>
        <w:tblW w:w="941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3742"/>
        <w:gridCol w:w="3742"/>
      </w:tblGrid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校验项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规则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失败提示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免费时长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0 ≤ free_minutes ≤ 120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免费时长应在 0～120 分钟之间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首时段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1 ≤ first_hours ≤ 24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首时段应为 1～24 小时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首时段价格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&gt; 0 且保留 2 位小数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首时段价格必须大于 0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超时单价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&gt; 0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超时单价必须大于 0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日封顶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≥ 首时段价格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日封顶不能低于首时段价格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生效时间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不早于当天 0:00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生效时间不能早于今天</w:t>
            </w:r>
          </w:p>
        </w:tc>
      </w:tr>
    </w:tbl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3.3.7 统计报表模块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统计按维度分组，SQL 片段如下（以 SQLite 为例，MySQL 使用对应的日期函数），仅统计已出场的记录。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-- 天：按自然日；周：%Y-%W；月：%Y-%m；季：年份 + 季度；年：%Y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SELECT strftime(:fmt, enter_time) AS bucket,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   COUNT(DISTINCT record_id)  AS car_count,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   SUM(fee)                   AS total_fee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FROM parking_record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WHERE exit_time IS NOT NULL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AND enter_time BETWEEN :start AND :end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GROUP BY bucket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ORDER BY bucket;</w:t>
      </w:r>
    </w:p>
    <w:p w14:paraId="1DB9FA7D">
      <w:pPr>
        <w:spacing w:before="0" w:after="0" w:line="120" w:lineRule="auto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/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报表由 ReportExporter 生成：A4 纵向，标题为“停车场收费统计报表”，正文包含统计区间、维度、汇总行与明细表，页脚为生成时间与页码；文件名格式为 report_&lt;维度&gt;_&lt;起&gt;_&lt;止&gt;.pdf，输出到 reports/ 目录。</w:t>
      </w:r>
    </w:p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3.3.8 附加功能模块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附加功能在需求中为加分项，设计上以独立服务实现，通过配置开关控制是否启用，不影响主流程：</w:t>
      </w:r>
    </w:p>
    <w:tbl>
      <w:tblPr>
        <w:tblStyle w:val="5"/>
        <w:tblW w:w="827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494"/>
        <w:gridCol w:w="3969"/>
      </w:tblGrid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功能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实现类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说明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黑白名单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BlacklistService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白名单车辆进场自动放行；黑名单出场告警并记录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车位余量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ParkingSpaceService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总车位数 − 在场车辆数，主界面实时显示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扫码缴费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QrPayService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生成模拟二维码，支付回调后置 pay_status=1</w:t>
            </w:r>
          </w:p>
        </w:tc>
      </w:tr>
    </w:tbl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3.3.9 数据访问层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Database 负责连接参数、PRAGMA 设置与事务上下文；Repository 只接受参数化 SQL，禁止字符串拼接，彻底避免 SQL 注入。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class Database: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def __init__(self, path):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    self.conn = sqlite3.connect(path, check_same_thread=False)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    self.conn.row_factory = sqlite3.Row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    self.conn.execute('PRAGMA foreign_keys = ON')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    self.conn.execute('PRAGMA journal_mode = WAL')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/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@contextmanager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def transaction(self):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    try: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        yield self.conn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        self.conn.commit()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    except Exception: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        self.conn.rollback()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        raise</w:t>
      </w:r>
    </w:p>
    <w:p w14:paraId="1DB9FA7D">
      <w:pPr>
        <w:spacing w:before="0" w:after="0" w:line="120" w:lineRule="auto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/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各仓储的主要方法如下，返回值统一为数据模型对象或对象列表。</w:t>
      </w:r>
    </w:p>
    <w:tbl>
      <w:tblPr>
        <w:tblStyle w:val="5"/>
        <w:tblW w:w="941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1"/>
        <w:gridCol w:w="3515"/>
        <w:gridCol w:w="3175"/>
      </w:tblGrid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仓储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主要方法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说明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VehicleRepository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get(plate) / upsert(vehicle)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车辆档案读写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RecordRepository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create_open / find_open / close / list_present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未闭合记录查询依赖唯一索引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FeeRuleRepository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latest_for(vehicle_type) / list / insert / update / delete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取生效时间最新的一条规则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AdminRepository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find_by_name / update_password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登录校验与口令修改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LogRepository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insert / query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审计日志写入与查询</w:t>
            </w:r>
          </w:p>
        </w:tc>
      </w:tr>
    </w:tbl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3.3.10 日志与审计模块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运行日志使用 RotatingFileHandler，单文件 5 MB、保留 5 份，记录级别为 INFO；审计日志单独写入 audit.log，只允许追加，内容包含操作人、动作、对象、修改前后值与时间戳。审计写入与业务写库在同一事务中，保证“操作成功必有日志”。</w:t>
      </w:r>
    </w:p>
    <w:p w14:paraId="5BE6D89F">
      <w:pPr>
        <w:spacing w:before="200"/>
        <w:jc w:val="left"/>
        <w:rPr>
          <w:rFonts w:hint="eastAsia"/>
        </w:rPr>
      </w:pPr>
      <w:r>
        <w:rPr>
          <w:rFonts w:ascii="Times New Roman" w:hAnsi="Times New Roman" w:eastAsia="黑体"/>
          <w:sz w:val="28"/>
        </w:rPr>
        <w:t xml:space="preserve">3.4 界面详细设计</w:t>
      </w:r>
    </w:p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3.4.1 主界面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主界面采用左右分栏：左侧为视频预览与识别结果，右侧为在场车辆列表，底部为状态栏。</w:t>
      </w:r>
    </w:p>
    <w:tbl>
      <w:tblPr>
        <w:tblStyle w:val="5"/>
        <w:tblW w:w="884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835"/>
        <w:gridCol w:w="4195"/>
      </w:tblGrid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区域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控件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说明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实时预览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lbl_video + 触发按钮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显示摄像头画面或图片，按钮触发进场/出场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识别结果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lbl_plate / lbl_conf / lbl_time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显示车牌号、置信度与抓拍时间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在场列表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tbl_present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车牌、进场时间、已停时长、状态，支持双击打开出场界面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状态栏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statusbar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数据库状态、动画模式、最近一次操作结果</w:t>
            </w:r>
          </w:p>
        </w:tc>
      </w:tr>
      <w:tr w14:paraId="1F51C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0E9FFD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工具栏</w:t>
            </w:r>
          </w:p>
        </w:tc>
        <w:tc>
          <w:tcPr>
            <w:tcW w:w="2769" w:type="dxa"/>
          </w:tcPr>
          <w:p w14:paraId="331C6F26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QToolBar</w:t>
            </w:r>
          </w:p>
        </w:tc>
        <w:tc>
          <w:tcPr>
            <w:tcW w:w="2769" w:type="dxa"/>
          </w:tcPr>
          <w:p w14:paraId="64E0CE28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收费标准、统计报表、系统设置、导入模拟数据</w:t>
            </w:r>
          </w:p>
        </w:tc>
      </w:tr>
    </w:tbl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列表刷新采用 5 s 定时器增量刷新，避免频繁重绘；识别在后台线程执行，完成后通过信号回到主线程更新界面。</w:t>
      </w:r>
    </w:p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3.4.2 出场缴费界面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出场缴费界面由出场事件自动弹出，也可从在场列表双击打开。界面状态分为“待缴费”“已缴费”“已授权”三种，按钮可用性随状态变化：待缴费时“放行”禁用，已缴费或已授权时“缴费”禁用。</w:t>
      </w:r>
    </w:p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3.4.3 收费标准管理界面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左侧为规则列表（车型、免费时长、首时段、单价、封顶、生效时间），右侧为编辑表单。保存前执行 3.3.6 的校验，校验失败在表单下方以红字提示，不关闭对话框。</w:t>
      </w:r>
    </w:p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3.4.4 统计报表界面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顶部为维度下拉框（天/周/月/季/年）与起止日期选择，中部为结果表与柱状图，底部为“导出 PDF”按钮。导出期间按钮置灰并显示进度，完成后提示文件路径并支持直接打开。</w:t>
      </w:r>
    </w:p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3.4.5 控件事件与业务调用</w:t>
      </w:r>
    </w:p>
    <w:tbl>
      <w:tblPr>
        <w:tblStyle w:val="5"/>
        <w:tblW w:w="941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701"/>
        <w:gridCol w:w="3175"/>
        <w:gridCol w:w="2721"/>
      </w:tblGrid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控件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事件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调用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反馈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btn_entry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clicked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on_entry(image)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识别结果与抬杆动画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btn_exit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clicked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on_exit(image)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弹出出场缴费界面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btn_pay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clicked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pay(record_id)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状态改为已缴费，放行按钮可用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btn_release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clicked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release(record_id, ...)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播放抬杆动画并落杆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btn_export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clicked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export_pdf(rows, path)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提示导出路径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tbl_present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doubleClicked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打开 ExitDialog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显示该车账单</w:t>
            </w:r>
          </w:p>
        </w:tc>
      </w:tr>
    </w:tbl>
    <w:p w14:paraId="5BE6D89F">
      <w:pPr>
        <w:spacing w:before="200"/>
        <w:jc w:val="left"/>
        <w:rPr>
          <w:rFonts w:hint="eastAsia"/>
        </w:rPr>
      </w:pPr>
      <w:r>
        <w:rPr>
          <w:rFonts w:ascii="Times New Roman" w:hAnsi="Times New Roman" w:eastAsia="黑体"/>
          <w:sz w:val="28"/>
        </w:rPr>
        <w:t xml:space="preserve">3.5 数据库详细设计</w:t>
      </w:r>
    </w:p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3.5.1 建表语句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数据库使用 SQLite（演示）或 MySQL 8（可选），下列脚本以 SQLite 为例，MySQL 仅需替换自增与时间默认值的写法。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CREATE TABLE vehicle (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plate_no     VARCHAR(16) PRIMARY KEY,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vehicle_type VARCHAR(20) NOT NULL DEFAULT '小型车',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owner_name   VARCHAR(50),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create_time  DATETIME NOT NULL DEFAULT CURRENT_TIMESTAMP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);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/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CREATE TABLE parking_record (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record_id      INTEGER PRIMARY KEY AUTOINCREMENT,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plate_no       VARCHAR(16) NOT NULL,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enter_time     DATETIME NOT NULL,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enter_photo    VARCHAR(255),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exit_time      DATETIME,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exit_photo     VARCHAR(255),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duration_min   INTEGER,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fee            DECIMAL(10,2),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pay_status     TINYINT NOT NULL DEFAULT 0,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release_status TINYINT NOT NULL DEFAULT 0,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release_type   VARCHAR(10),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operator       VARCHAR(50),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FOREIGN KEY (plate_no) REFERENCES vehicle(plate_no)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);</w:t>
      </w:r>
    </w:p>
    <w:p w14:paraId="1DB9FA7D">
      <w:pPr>
        <w:spacing w:before="0" w:after="0" w:line="120" w:lineRule="auto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/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CREATE TABLE fee_rule (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rule_id        INTEGER PRIMARY KEY AUTOINCREMENT,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vehicle_type   VARCHAR(20) NOT NULL,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free_minutes   INTEGER NOT NULL DEFAULT 15,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first_hours    INTEGER NOT NULL DEFAULT 2,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first_price    DECIMAL(10,2) NOT NULL,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extra_price    DECIMAL(10,2) NOT NULL,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day_cap        DECIMAL(10,2) NOT NULL,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effective_time DATETIME NOT NULL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);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/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CREATE TABLE admin (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admin_id      INTEGER PRIMARY KEY AUTOINCREMENT,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username      VARCHAR(50) NOT NULL UNIQUE,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password_hash VARCHAR(128) NOT NULL,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salt          VARCHAR(32) NOT NULL,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role          VARCHAR(20) NOT NULL DEFAULT 'operator',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fail_count    INTEGER NOT NULL DEFAULT 0,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locked_until  DATETIME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);</w:t>
      </w:r>
    </w:p>
    <w:p w14:paraId="1DB9FA7D">
      <w:pPr>
        <w:spacing w:before="0" w:after="0" w:line="120" w:lineRule="auto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/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CREATE TABLE operation_log (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log_id       INTEGER PRIMARY KEY AUTOINCREMENT,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admin_id     INTEGER,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action       VARCHAR(50) NOT NULL,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target       VARCHAR(100),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before_value TEXT,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after_value  TEXT,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created_at   DATETIME NOT NULL DEFAULT CURRENT_TIMESTAMP,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FOREIGN KEY (admin_id) REFERENCES admin(admin_id)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);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/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CREATE TABLE blacklist (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plate_no   VARCHAR(16) PRIMARY KEY,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type       VARCHAR(10) NOT NULL,   -- white / black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reason     VARCHAR(200),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created_at DATETIME NOT NULL DEFAULT CURRENT_TIMESTAMP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);</w:t>
      </w:r>
    </w:p>
    <w:p w14:paraId="1DB9FA7D">
      <w:pPr>
        <w:spacing w:before="0" w:after="0" w:line="120" w:lineRule="auto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/>
      </w:r>
    </w:p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3.5.2 索引与约束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索引针对三类高频查询：在场车辆查询、按车牌追溯、按时间统计。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-- 同一车牌最多一条未闭合记录，从数据库层杜绝重复进场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CREATE UNIQUE INDEX uk_record_open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ON parking_record(plate_no) WHERE exit_time IS NULL;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/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CREATE INDEX idx_record_enter ON parking_record(enter_time);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CREATE INDEX idx_record_plate ON parking_record(plate_no, exit_time);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CREATE INDEX idx_log_time     ON operation_log(created_at);</w:t>
      </w:r>
    </w:p>
    <w:p w14:paraId="1DB9FA7D">
      <w:pPr>
        <w:spacing w:before="0" w:after="0" w:line="120" w:lineRule="auto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/>
      </w:r>
    </w:p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3.5.3 初始化数据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首次启动时由 tools/init_db.py 建表并写入默认规则与管理员账号，默认口令在首次登录后强制修改。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INSERT INTO fee_rule (vehicle_type, free_minutes, first_hours,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                  first_price, extra_price, day_cap, effective_time)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VALUES ('小型车', 15, 2, 5.00, 3.00, 30.00, CURRENT_TIMESTAMP);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/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INSERT INTO admin (username, password_hash, salt, role)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VALUES ('admin', :hash, :salt, 'admin');</w:t>
      </w:r>
    </w:p>
    <w:p w14:paraId="1DB9FA7D">
      <w:pPr>
        <w:spacing w:before="0" w:after="0" w:line="120" w:lineRule="auto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/>
      </w:r>
    </w:p>
    <w:p w14:paraId="5BE6D89F">
      <w:pPr>
        <w:keepNext/>
        <w:spacing w:before="200"/>
        <w:jc w:val="left"/>
        <w:rPr>
          <w:rFonts w:hint="eastAsia"/>
        </w:rPr>
      </w:pPr>
      <w:r>
        <w:rPr>
          <w:rFonts w:ascii="Times New Roman" w:hAnsi="Times New Roman" w:eastAsia="黑体"/>
          <w:sz w:val="28"/>
        </w:rPr>
        <w:t xml:space="preserve">3.6 关键流程详细设计</w:t>
      </w:r>
    </w:p>
    <w:p w14:paraId="4211388F">
      <w:pPr>
        <w:keepNext/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3.6.1 进场流程</w:t>
      </w:r>
    </w:p>
    <w:p w14:paraId="1DB9FA7D">
      <w:pPr>
        <w:spacing w:before="120" w:after="40"/>
        <w:ind w:firstLine="0"/>
        <w:jc w:val="center"/>
        <w:rPr>
          <w:rFonts w:hint="eastAsia"/>
        </w:rPr>
      </w:pPr>
      <w:r>
        <w:rPr>
          <w:rFonts w:ascii="Times New Roman" w:hAnsi="Times New Roman" w:eastAsia="宋体"/>
          <w:sz w:val="24"/>
        </w:rPr>
        <w:drawing>
          <wp:inline xmlns:a="http://schemas.openxmlformats.org/drawingml/2006/main" xmlns:pic="http://schemas.openxmlformats.org/drawingml/2006/picture">
            <wp:extent cx="4176000" cy="3830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ent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38303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DB9FA7D">
      <w:pPr>
        <w:spacing w:before="40"/>
        <w:jc w:val="center"/>
        <w:rPr>
          <w:rFonts w:hint="eastAsia"/>
        </w:rPr>
      </w:pPr>
      <w:r>
        <w:rPr>
          <w:rFonts w:ascii="Times New Roman" w:hAnsi="Times New Roman" w:eastAsia="宋体"/>
          <w:sz w:val="21"/>
        </w:rPr>
        <w:t xml:space="preserve">图 6 进场处理流程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进场流程如图 6 所示，核心是“识别—校验—写库—抬杆”四步，任何一步失败都回到异常状态并给出提示。对应伪代码如下，写库与抬杆在同一事务中，动画失败不影响记录。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def on_entry(image):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result = recognizer.recognize(image)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if result is None: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    return UI.warn('识别失败，请重试或人工录入')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with db.transaction():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    if record_repo.find_open(result.plate_no):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        raise BusinessError(E2001, '车辆已在场内')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    vehicle_repo.upsert(Vehicle(result.plate_no))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    record = record_repo.create_open(result.plate_no, image)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    audit.log('entry', result.plate_no)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gate.release(record.record_id, operator='system')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  return EntryResult(record_id=record.record_id, plate=result.plate_no)</w:t>
      </w:r>
    </w:p>
    <w:p w14:paraId="1DB9FA7D">
      <w:pPr>
        <w:spacing w:before="0" w:after="0" w:line="120" w:lineRule="auto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/>
      </w:r>
    </w:p>
    <w:p w14:paraId="4211388F">
      <w:pPr>
        <w:keepNext/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3.6.2 出场计费与放行流程</w:t>
      </w:r>
    </w:p>
    <w:p w14:paraId="1DB9FA7D">
      <w:pPr>
        <w:spacing w:before="120" w:after="40"/>
        <w:ind w:firstLine="0"/>
        <w:jc w:val="center"/>
        <w:rPr>
          <w:rFonts w:hint="eastAsia"/>
        </w:rPr>
      </w:pPr>
      <w:r>
        <w:rPr>
          <w:rFonts w:ascii="Times New Roman" w:hAnsi="Times New Roman" w:eastAsia="宋体"/>
          <w:sz w:val="24"/>
        </w:rPr>
        <w:drawing>
          <wp:inline xmlns:a="http://schemas.openxmlformats.org/drawingml/2006/main" xmlns:pic="http://schemas.openxmlformats.org/drawingml/2006/picture">
            <wp:extent cx="4176000" cy="3830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ex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38303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DB9FA7D">
      <w:pPr>
        <w:spacing w:before="40"/>
        <w:jc w:val="center"/>
        <w:rPr>
          <w:rFonts w:hint="eastAsia"/>
        </w:rPr>
      </w:pPr>
      <w:r>
        <w:rPr>
          <w:rFonts w:ascii="Times New Roman" w:hAnsi="Times New Roman" w:eastAsia="宋体"/>
          <w:sz w:val="21"/>
        </w:rPr>
        <w:t xml:space="preserve">图 7 出场计费与放行流程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出场流程如图 7 所示，计费只计算一次并落库，缴费与放行分离，未缴费车辆必须经授权才能放行。关键点：出场时先落库账单再弹出界面，避免用户关闭界面后账单丢失；缴费与放行各自开启事务，放行失败可重试，不会重复扣费。</w:t>
      </w:r>
    </w:p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3.6.3 识别失败与人工录入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识别失败时界面保留抓拍图像并提供输入框，人工录入车牌后走与自动识别相同的进场或出场流程，记录中标记来源为 manual，便于统计识别率。重试次数用完后不再自动重试，避免界面卡顿。</w:t>
      </w:r>
    </w:p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3.6.4 报表导出流程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导出时先按当前查询条件重新取数，再生成 PDF 并写入 reports/ 目录；文件名包含维度与起止日期，重复导出不会覆盖。导出失败时保留临时文件用于排查，并向用户提示错误码与日志路径。</w:t>
      </w:r>
    </w:p>
    <w:p w14:paraId="5BE6D89F">
      <w:pPr>
        <w:spacing w:before="200"/>
        <w:jc w:val="left"/>
        <w:rPr>
          <w:rFonts w:hint="eastAsia"/>
        </w:rPr>
      </w:pPr>
      <w:r>
        <w:rPr>
          <w:rFonts w:ascii="Times New Roman" w:hAnsi="Times New Roman" w:eastAsia="黑体"/>
          <w:sz w:val="28"/>
        </w:rPr>
        <w:t xml:space="preserve">3.7 接口详细设计</w:t>
      </w:r>
    </w:p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3.7.1 方法签名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主要对外方法的签名、返回值与可能抛出的异常如下表。</w:t>
      </w:r>
    </w:p>
    <w:tbl>
      <w:tblPr>
        <w:tblStyle w:val="5"/>
        <w:tblW w:w="884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1928"/>
        <w:gridCol w:w="2041"/>
        <w:gridCol w:w="2268"/>
      </w:tblGrid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方法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返回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可能异常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说明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recognize(image)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PlateResult | None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RecognitionError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识别失败返回 None，图像为空抛异常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enter(plate, image)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EntryResult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E2001、E3001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重复进场抛业务异常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exit(plate)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ExitBill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E2002、E2004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无记录或规则缺失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pay(record_id)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None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E3001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幂等，重复调用不重复计费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release(record_id, operator, reason)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ReleaseResult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E2003、E5001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未缴费且无授权时返回失败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export_pdf(rows, path)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str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ReportError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返回生成文件的绝对路径</w:t>
            </w:r>
          </w:p>
        </w:tc>
      </w:tr>
    </w:tbl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3.7.2 配置文件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运行参数集中在 config.yaml 中，修改后重启生效；配置缺失时使用代码中的默认值并在日志中提示。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app: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mode: demo                # demo / prod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db_path: data/parking.db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photo_dir: data/photos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recognition: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det_conf: 0.35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det_iou: 0.45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imgsz: 640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accept_conf: 0.80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max_retry: 3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device: cpu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animation: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mode: video               # video / sequence / unity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raise_file: resources/anim/gate_up.mp4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lower_file: resources/anim/gate_down.mp4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fee: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default_vehicle_type: 小型车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logging: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level: INFO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  dir: logs</w:t>
      </w:r>
    </w:p>
    <w:p w14:paraId="1DB9FA7D">
      <w:pPr>
        <w:spacing w:before="0" w:after="0" w:line="120" w:lineRule="auto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/>
      </w:r>
    </w:p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3.7.3 异常类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自定义异常统一继承 AppError，携带错误码与用户提示文案，界面层据此决定弹窗内容。</w:t>
      </w:r>
    </w:p>
    <w:tbl>
      <w:tblPr>
        <w:tblStyle w:val="5"/>
        <w:tblW w:w="884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1587"/>
        <w:gridCol w:w="1361"/>
        <w:gridCol w:w="3288"/>
      </w:tblGrid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异常类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父类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错误码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使用场景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RecognitionError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AppError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E1001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识别失败或图像非法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BusinessError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AppError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E2xxx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业务规则不满足，如重复进场、未缴费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DatabaseError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AppError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E3001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连接失败、SQL 异常、事务回滚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AnimationError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AppError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E4001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动画资源缺失或解码失败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PermissionError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AppError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E5001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非管理员执行敏感操作</w:t>
            </w:r>
          </w:p>
        </w:tc>
      </w:tr>
    </w:tbl>
    <w:p w14:paraId="5BE6D89F">
      <w:pPr>
        <w:spacing w:before="200"/>
        <w:jc w:val="left"/>
        <w:rPr>
          <w:rFonts w:hint="eastAsia"/>
        </w:rPr>
      </w:pPr>
      <w:r>
        <w:rPr>
          <w:rFonts w:ascii="Times New Roman" w:hAnsi="Times New Roman" w:eastAsia="黑体"/>
          <w:sz w:val="28"/>
        </w:rPr>
        <w:t xml:space="preserve">3.8 算法详细设计</w:t>
      </w:r>
    </w:p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3.8.1 计费算法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计费算法的时间复杂度为 O(d)，d 为跨自然日数（通常为 1，跨天时最多为停车天数），空间复杂度 O(d)。算法不含数据库访问，输入输出均为值对象，因此可以对其做穷举回归：以需求文档 1.3.3 的 6 个算例作为基准，另补充 0 分钟、1 分钟、跨月、跨年等边界用例。</w:t>
      </w:r>
    </w:p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3.8.2 识别置信度融合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融合置信度采用几何平均 c = √(c_det × c_char)，相比取平均值更能抑制“检测置信度高但字符识别不可靠”的情况；当检测框数量大于 1 时，只取检测置信度最高的框参与计算，避免多框平均掩盖错误。</w:t>
      </w:r>
    </w:p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3.8.3 动画播放状态机</w:t>
      </w:r>
    </w:p>
    <w:tbl>
      <w:tblPr>
        <w:tblStyle w:val="5"/>
        <w:tblW w:w="884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2268"/>
        <w:gridCol w:w="3175"/>
        <w:gridCol w:w="1814"/>
      </w:tblGrid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状态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进入条件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动作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迁出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IDLE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初始状态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预加载视频，隐藏画面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收到 play_raise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RAISING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开始抬杆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播放抬杆视频，禁用重复触发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播放结束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OPEN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抬杆完成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停在最后一帧，等待车辆通过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收到 play_lower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LOWERING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开始落杆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播放落杆视频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播放结束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ERROR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解码失败或文件缺失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显示静态图并提示，记录日志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人工重试或结束</w:t>
            </w:r>
          </w:p>
        </w:tc>
      </w:tr>
    </w:tbl>
    <w:p w14:paraId="5BE6D89F">
      <w:pPr>
        <w:spacing w:before="200"/>
        <w:jc w:val="left"/>
        <w:rPr>
          <w:rFonts w:hint="eastAsia"/>
        </w:rPr>
      </w:pPr>
      <w:r>
        <w:rPr>
          <w:rFonts w:ascii="Times New Roman" w:hAnsi="Times New Roman" w:eastAsia="黑体"/>
          <w:sz w:val="28"/>
        </w:rPr>
        <w:t xml:space="preserve">3.9 单元测试设计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单元测试与需求文档 1.9 的测试用例对应，优先覆盖计费、校验与放行三类纯逻辑，界面与动画采用手工验证。</w:t>
      </w:r>
    </w:p>
    <w:tbl>
      <w:tblPr>
        <w:tblStyle w:val="5"/>
        <w:tblW w:w="827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608"/>
        <w:gridCol w:w="3402"/>
        <w:gridCol w:w="1417"/>
      </w:tblGrid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编号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被测单元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输入与期望结果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对应测试用例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UT-01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FeeCalculator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100 min，默认规则 → 5.00 元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TC-02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UT-02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FeeCalculator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200 min，默认规则 → 11.00 元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TC-02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UT-03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FeeCalculator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720 min，默认规则 → 30.00 元（封顶）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TC-02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UT-04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FeeCalculator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停放 26 h，跨两天 → 60.00 元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TC-09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UT-05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FeeCalculator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10 min → 0.00 元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TC-03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UT-06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LicenseRecognizer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清晰车牌图片 → 车牌号正确且置信度 ≥0.80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TC-01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UT-07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LicenseRecognizer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模糊或遮挡图片 → 返回 None 并记录日志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TC-08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UT-08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EntryService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已在场车牌再次进场 → 抛 E2001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TC-06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UT-09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ExitService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无未闭合记录 → 抛 E2002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TC-07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UT-10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GateController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未缴费且无授权 → 返回失败，不播放动画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TC-04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UT-11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GateController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未缴费但管理员授权 → 放行成功且写入审计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TC-05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UT-12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StatisticsService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30 天数据按“月”统计 → 合计与明细一致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TC-11</w:t>
            </w:r>
          </w:p>
        </w:tc>
      </w:tr>
    </w:tbl>
    <w:p w14:paraId="5BE6D89F">
      <w:pPr>
        <w:spacing w:before="200"/>
        <w:jc w:val="left"/>
        <w:rPr>
          <w:rFonts w:hint="eastAsia"/>
        </w:rPr>
      </w:pPr>
      <w:r>
        <w:rPr>
          <w:rFonts w:ascii="Times New Roman" w:hAnsi="Times New Roman" w:eastAsia="黑体"/>
          <w:sz w:val="28"/>
        </w:rPr>
        <w:t xml:space="preserve">3.10 部署与运行</w:t>
      </w:r>
    </w:p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3.10.1 安装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在干净的 Windows 10/11 机器上执行下列步骤即可完成部署，全过程无需联网（依赖包可离线安装）。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python -m venv .venv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.venv\Scripts\activate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pip install -r requirements.txt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python tools/init_db.py          # 建表并写入默认规则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python tools/import_mock_data.py # 可选：导入模拟数据</w:t>
      </w:r>
    </w:p>
    <w:p w14:paraId="1DB9FA7D">
      <w:pPr>
        <w:keepNext/>
        <w:shd w:val="clear" w:color="auto" w:fill="F4F6F8"/>
        <w:spacing w:line="240" w:lineRule="auto" w:before="0" w:after="0"/>
        <w:ind w:left="283" w:firstLine="0"/>
        <w:jc w:val="left"/>
        <w:rPr>
          <w:rFonts w:hint="eastAsia"/>
        </w:rPr>
      </w:pPr>
      <w:r>
        <w:rPr>
          <w:rFonts w:ascii="Consolas" w:hAnsi="Consolas" w:eastAsia="宋体"/>
          <w:sz w:val="18"/>
        </w:rPr>
        <w:t xml:space="preserve">python app.py</w:t>
      </w:r>
    </w:p>
    <w:p w14:paraId="1DB9FA7D">
      <w:pPr>
        <w:spacing w:before="0" w:after="0" w:line="120" w:lineRule="auto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/>
      </w:r>
    </w:p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3.10.2 启动与初始化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启动时按顺序执行：加载 config.yaml → 连接数据库并校验表结构（缺失则建表）→ 初始化识别模型（懒加载）→ 创建主窗口。任一步失败在启动页显示错误码与处理建议，不进入主界面。</w:t>
      </w:r>
    </w:p>
    <w:p w14:paraId="4211388F">
      <w:pPr>
        <w:spacing w:before="120"/>
        <w:jc w:val="left"/>
        <w:rPr>
          <w:rFonts w:hint="eastAsia" w:ascii="Heiti SC Medium" w:eastAsia="Heiti SC Medium"/>
        </w:rPr>
      </w:pPr>
      <w:r>
        <w:rPr>
          <w:rFonts w:hint="eastAsia" w:ascii="Heiti SC Medium" w:hAnsi="Times New Roman" w:eastAsia="Heiti SC Medium"/>
          <w:sz w:val="24"/>
        </w:rPr>
        <w:t xml:space="preserve">3.10.3 日志与备份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日志写入 logs/ 目录，按 5 MB 滚动；数据库每日首次启动自动备份到 backup/parking_YYYYMMDD.db，保留最近 7 份。备份与恢复均在 tools/ 下提供脚本，答辩前可一键还原演示数据。</w:t>
      </w:r>
    </w:p>
    <w:p w14:paraId="5BE6D89F">
      <w:pPr>
        <w:spacing w:before="200"/>
        <w:jc w:val="left"/>
        <w:rPr>
          <w:rFonts w:hint="eastAsia"/>
        </w:rPr>
      </w:pPr>
      <w:r>
        <w:rPr>
          <w:rFonts w:ascii="Times New Roman" w:hAnsi="Times New Roman" w:eastAsia="黑体"/>
          <w:sz w:val="28"/>
        </w:rPr>
        <w:t xml:space="preserve">3.11 设计追踪</w:t>
      </w:r>
    </w:p>
    <w:p w14:paraId="1DB9FA7D">
      <w:pPr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 xml:space="preserve">下表给出功能需求、详细设计章节与校验用例的对应关系，确保每条需求都有实现落点与验证手段。</w:t>
      </w:r>
    </w:p>
    <w:tbl>
      <w:tblPr>
        <w:tblStyle w:val="5"/>
        <w:tblW w:w="827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948"/>
        <w:gridCol w:w="1928"/>
        <w:gridCol w:w="1587"/>
      </w:tblGrid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需求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主要类/方法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设计章节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验证用例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FR-1 车牌识别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LicenseRecognizer.recognize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3.3.1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TC-01、TC-08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FR-2 进场管理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EntryService.enter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3.3.2、3.6.1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TC-01、TC-06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FR-3 出场计费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FeeCalculator.calculate、ExitService.exit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3.3.3、3.6.2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TC-02、TC-09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FR-4 出场显示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ExitDialog.refresh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3.3.4、3.4.2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TC-02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FR-5 抬杆放行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GateController.release、GateAnimator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3.3.5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TC-04、TC-05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FR-6 收费标准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FeeRuleService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3.3.6、3.4.3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TC-10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FR-7 统计查询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StatisticsService.query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3.3.7、3.4.4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TC-11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FR-8 报表导出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ReportExporter.export_pdf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3.3.7、3.6.4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TC-12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FR-9 附加功能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BlacklistService 等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3.3.8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—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1.4.3 状态机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ParkingStateMachine.transit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3.3.2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TC-06、TC-07</w:t>
            </w:r>
          </w:p>
        </w:tc>
      </w:tr>
      <w:tr w14:paraId="2EB0B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719130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1.6.5 安全审计</w:t>
            </w:r>
          </w:p>
        </w:tc>
        <w:tc>
          <w:tcPr>
            <w:tcW w:w="2076" w:type="dxa"/>
          </w:tcPr>
          <w:p w14:paraId="5DDBCA8F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AuditLogger.log、AdminRepository</w:t>
            </w:r>
          </w:p>
        </w:tc>
        <w:tc>
          <w:tcPr>
            <w:tcW w:w="2076" w:type="dxa"/>
          </w:tcPr>
          <w:p w14:paraId="53F6ADE9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3.3.10、3.7.3</w:t>
            </w:r>
          </w:p>
        </w:tc>
        <w:tc>
          <w:tcPr>
            <w:tcW w:w="2076" w:type="dxa"/>
          </w:tcPr>
          <w:p w14:paraId="397A94F1">
            <w:pPr>
              <w:jc w:val="left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8"/>
              </w:rPr>
              <w:t>TC-05</w:t>
            </w:r>
          </w:p>
        </w:tc>
      </w:tr>
    </w:tbl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eiti SC Medium">
    <w:altName w:val="宋体"/>
    <w:panose1 w:val="00000000000000000000"/>
    <w:charset w:val="86"/>
    <w:family w:val="auto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35A55E">
    <w:pPr>
      <w:pStyle w:val="2"/>
      <w:ind w:left="5880" w:hanging="5880" w:hangingChars="2800"/>
      <w:jc w:val="both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 xml:space="preserve">———————————————————————————————————————坐言起行 </w:t>
    </w:r>
    <w:r>
      <w:rPr>
        <w:sz w:val="21"/>
        <w:szCs w:val="21"/>
      </w:rPr>
      <w:t xml:space="preserve">    </w:t>
    </w:r>
    <w:r>
      <w:rPr>
        <w:rFonts w:hint="eastAsia"/>
        <w:sz w:val="21"/>
        <w:szCs w:val="21"/>
      </w:rPr>
      <w:t>信达天下</w:t>
    </w:r>
  </w:p>
  <w:p w14:paraId="7C15DC6A">
    <w:pPr>
      <w:pStyle w:val="2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CCC093">
    <w:pPr>
      <w:pStyle w:val="2"/>
      <w:ind w:left="5880" w:hanging="5880" w:hangingChars="2800"/>
      <w:jc w:val="both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 xml:space="preserve">———————————————————————————————————————坐言起行 </w:t>
    </w:r>
    <w:r>
      <w:rPr>
        <w:sz w:val="21"/>
        <w:szCs w:val="21"/>
      </w:rPr>
      <w:t xml:space="preserve">    </w:t>
    </w:r>
    <w:r>
      <w:rPr>
        <w:rFonts w:hint="eastAsia"/>
        <w:sz w:val="21"/>
        <w:szCs w:val="21"/>
      </w:rPr>
      <w:t>信达天下</w:t>
    </w:r>
  </w:p>
  <w:p w14:paraId="2904B3E6">
    <w:pPr>
      <w:pStyle w:val="2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2ACF9">
    <w:pPr>
      <w:pStyle w:val="3"/>
      <w:rPr>
        <w:rFonts w:hint="eastAsia"/>
      </w:rPr>
    </w:pPr>
    <w:r>
      <w:rPr>
        <w:rFonts w:hint="eastAsia"/>
        <w:sz w:val="32"/>
        <w:szCs w:val="32"/>
      </w:rPr>
      <w:t xml:space="preserve">弘毅 </w:t>
    </w:r>
    <w:r>
      <w:rPr>
        <w:sz w:val="32"/>
        <w:szCs w:val="32"/>
      </w:rPr>
      <w:t xml:space="preserve">  </w:t>
    </w:r>
    <w:r>
      <w:rPr>
        <w:rFonts w:hint="eastAsia"/>
        <w:sz w:val="32"/>
        <w:szCs w:val="32"/>
      </w:rPr>
      <w:t xml:space="preserve">明德 </w:t>
    </w:r>
    <w:r>
      <w:rPr>
        <w:sz w:val="32"/>
        <w:szCs w:val="32"/>
      </w:rPr>
      <w:t xml:space="preserve">  </w:t>
    </w:r>
    <w:r>
      <w:rPr>
        <w:rFonts w:hint="eastAsia"/>
        <w:sz w:val="32"/>
        <w:szCs w:val="32"/>
      </w:rPr>
      <w:t xml:space="preserve">笃学 </w:t>
    </w:r>
    <w:r>
      <w:rPr>
        <w:sz w:val="32"/>
        <w:szCs w:val="32"/>
      </w:rPr>
      <w:t xml:space="preserve">  </w:t>
    </w:r>
    <w:r>
      <w:rPr>
        <w:rFonts w:hint="eastAsia"/>
        <w:sz w:val="32"/>
        <w:szCs w:val="32"/>
      </w:rPr>
      <w:t xml:space="preserve">创新 </w:t>
    </w:r>
    <w:r>
      <w:rPr>
        <w:sz w:val="32"/>
        <w:szCs w:val="32"/>
      </w:rPr>
      <w:t xml:space="preserve"> </w:t>
    </w:r>
    <w:r>
      <w:t xml:space="preserve">      </w:t>
    </w:r>
    <w:r>
      <w:rPr>
        <w:rFonts w:ascii="宋体" w:hAnsi="宋体" w:eastAsia="宋体"/>
        <w:b/>
        <w:sz w:val="44"/>
        <w:szCs w:val="44"/>
      </w:rPr>
      <w:drawing>
        <wp:inline distT="0" distB="0" distL="0" distR="0">
          <wp:extent cx="419100" cy="419100"/>
          <wp:effectExtent l="0" t="0" r="0" b="0"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9100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18C143">
    <w:pPr>
      <w:pStyle w:val="3"/>
      <w:rPr>
        <w:rFonts w:hint="eastAsia"/>
      </w:rPr>
    </w:pPr>
    <w:r>
      <w:rPr>
        <w:rFonts w:hint="eastAsia"/>
        <w:sz w:val="32"/>
        <w:szCs w:val="32"/>
      </w:rPr>
      <w:t xml:space="preserve">弘毅 </w:t>
    </w:r>
    <w:r>
      <w:rPr>
        <w:sz w:val="32"/>
        <w:szCs w:val="32"/>
      </w:rPr>
      <w:t xml:space="preserve">  </w:t>
    </w:r>
    <w:r>
      <w:rPr>
        <w:rFonts w:hint="eastAsia"/>
        <w:sz w:val="32"/>
        <w:szCs w:val="32"/>
      </w:rPr>
      <w:t xml:space="preserve">明德 </w:t>
    </w:r>
    <w:r>
      <w:rPr>
        <w:sz w:val="32"/>
        <w:szCs w:val="32"/>
      </w:rPr>
      <w:t xml:space="preserve">  </w:t>
    </w:r>
    <w:r>
      <w:rPr>
        <w:rFonts w:hint="eastAsia"/>
        <w:sz w:val="32"/>
        <w:szCs w:val="32"/>
      </w:rPr>
      <w:t xml:space="preserve">笃学 </w:t>
    </w:r>
    <w:r>
      <w:rPr>
        <w:sz w:val="32"/>
        <w:szCs w:val="32"/>
      </w:rPr>
      <w:t xml:space="preserve">  </w:t>
    </w:r>
    <w:r>
      <w:rPr>
        <w:rFonts w:hint="eastAsia"/>
        <w:sz w:val="32"/>
        <w:szCs w:val="32"/>
      </w:rPr>
      <w:t xml:space="preserve">创新 </w:t>
    </w:r>
    <w:r>
      <w:rPr>
        <w:sz w:val="32"/>
        <w:szCs w:val="32"/>
      </w:rPr>
      <w:t xml:space="preserve"> </w:t>
    </w:r>
    <w:r>
      <w:t xml:space="preserve">      </w:t>
    </w:r>
    <w:r>
      <w:rPr>
        <w:rFonts w:ascii="宋体" w:hAnsi="宋体" w:eastAsia="宋体"/>
        <w:b/>
        <w:sz w:val="44"/>
        <w:szCs w:val="44"/>
      </w:rPr>
      <w:drawing>
        <wp:inline distT="0" distB="0" distL="0" distR="0">
          <wp:extent cx="419100" cy="419100"/>
          <wp:effectExtent l="0" t="0" r="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9100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4MzQ5NWZjZGUwMmM3N2IyYzYwNzg1YWI3MmVhMDQifQ=="/>
  </w:docVars>
  <w:rsids>
    <w:rsidRoot w:val="00417EED"/>
    <w:rsid w:val="00070DAB"/>
    <w:rsid w:val="00077016"/>
    <w:rsid w:val="000C6928"/>
    <w:rsid w:val="000E20A3"/>
    <w:rsid w:val="00130A3B"/>
    <w:rsid w:val="001D65C2"/>
    <w:rsid w:val="00201647"/>
    <w:rsid w:val="00290167"/>
    <w:rsid w:val="00292CD0"/>
    <w:rsid w:val="002B464E"/>
    <w:rsid w:val="003604E7"/>
    <w:rsid w:val="004071EF"/>
    <w:rsid w:val="00417EED"/>
    <w:rsid w:val="004465C7"/>
    <w:rsid w:val="004852AD"/>
    <w:rsid w:val="005171DA"/>
    <w:rsid w:val="00563E19"/>
    <w:rsid w:val="00646842"/>
    <w:rsid w:val="00673039"/>
    <w:rsid w:val="006F2329"/>
    <w:rsid w:val="00742FD8"/>
    <w:rsid w:val="00754627"/>
    <w:rsid w:val="00836DD7"/>
    <w:rsid w:val="008935B9"/>
    <w:rsid w:val="008A33D1"/>
    <w:rsid w:val="008B3A26"/>
    <w:rsid w:val="008F4C6D"/>
    <w:rsid w:val="00915489"/>
    <w:rsid w:val="00955F23"/>
    <w:rsid w:val="00990D2E"/>
    <w:rsid w:val="009A7330"/>
    <w:rsid w:val="00A53E63"/>
    <w:rsid w:val="00AF23F8"/>
    <w:rsid w:val="00B05EE1"/>
    <w:rsid w:val="00B4451B"/>
    <w:rsid w:val="00B62159"/>
    <w:rsid w:val="00B63334"/>
    <w:rsid w:val="00B85008"/>
    <w:rsid w:val="00BB7A41"/>
    <w:rsid w:val="00BF0530"/>
    <w:rsid w:val="00CB4E22"/>
    <w:rsid w:val="00D02E80"/>
    <w:rsid w:val="00D43291"/>
    <w:rsid w:val="00DF7740"/>
    <w:rsid w:val="00F40F8B"/>
    <w:rsid w:val="00FE641C"/>
    <w:rsid w:val="21407DE2"/>
    <w:rsid w:val="5BF31B24"/>
    <w:rsid w:val="7A6B4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rPr>
      <w:sz w:val="24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page number"/>
    <w:basedOn w:val="7"/>
    <w:qFormat/>
    <w:uiPriority w:val="0"/>
  </w:style>
  <w:style w:type="character" w:styleId="9">
    <w:name w:val="Hyperlink"/>
    <w:basedOn w:val="7"/>
    <w:semiHidden/>
    <w:unhideWhenUsed/>
    <w:uiPriority w:val="99"/>
    <w:rPr>
      <w:color w:val="0000FF"/>
      <w:u w:val="single"/>
    </w:rPr>
  </w:style>
  <w:style w:type="character" w:customStyle="1" w:styleId="10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11">
    <w:name w:val="页脚 字符"/>
    <w:basedOn w:val="7"/>
    <w:link w:val="2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741</Words>
  <Characters>861</Characters>
  <Lines>41</Lines>
  <Paragraphs>11</Paragraphs>
  <TotalTime>35</TotalTime>
  <ScaleCrop>false</ScaleCrop>
  <LinksUpToDate>false</LinksUpToDate>
  <CharactersWithSpaces>916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2023-11-07T08:19:00Z</dcterms:created>
  <dc:creator>shuxu jing</dc:creator>
  <cp:lastModifiedBy>林中枫叶.zy</cp:lastModifiedBy>
  <dcterms:modified xsi:type="dcterms:W3CDTF">2026-10-17T13:18:31Z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74567857222247879D643F1D0ADED1C8_13</vt:lpwstr>
  </property>
</Properties>
</file>