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${vlr_vta}</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${nombre_comp1}</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${cc_comp1}</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${nombre_comp2}</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${cc_comp2}</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${nombre_comp3}</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${cc_comp3}</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${nombre_comp4}</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${cc_comp4}</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${NUM_AP_LETRAS}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${TORRE_AP_LETRAS}</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${NUM_PQ_LETRAS}</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${NUM_DP_LETRAS}</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${nombre_comp1}</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${nombre_comp2}</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${dom_comp1}</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${dom_comp2}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${dom_comp3}</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${cc_comp1}</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${cc_comp2}</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${cc_comp3}</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${expcc_comp1}</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${expcc_comp2}</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${expcc_comp3}</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${expcc_comp4}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${escivil_comp1}</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${escivil_comp4}</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23F98B50"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${NUM_AP_LETRAS}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${NUM_PQ_LETRAS}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${NUM_DP_LETRAS}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${vlr_vta}</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${nombre_comp1}</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UN MILLÓN SETECIENTOS SETENTA Y TRES MIL CUARENTA</w:t>
      </w:r>
      <w:r w:rsidR="00C95C70">
        <w:rPr>
          <w:rFonts w:ascii="Arial" w:hAnsi="Arial" w:cs="Arial"/>
          <w:b/>
          <w:bCs/>
          <w:color w:val="0000FF"/>
          <w:sz w:val="24"/>
          <w:szCs w:val="24"/>
          <w:lang w:val="es-CO"/>
        </w:rPr>
        <w:t xml:space="preserve"> Y NUEVE</w:t>
      </w:r>
      <w:r w:rsidR="00C95C70">
        <w:rPr>
          <w:rFonts w:ascii="Arial" w:hAnsi="Arial" w:cs="Arial"/>
          <w:b/>
          <w:bCs/>
          <w:color w:val="0000FF"/>
          <w:sz w:val="24"/>
          <w:szCs w:val="24"/>
          <w:lang w:val="es-CO"/>
        </w:rPr>
        <w:t xml:space="preser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${nombre_comp1}</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7DA6" w14:textId="77777777" w:rsidR="00E8551F" w:rsidRDefault="00E8551F">
      <w:pPr>
        <w:spacing w:line="240" w:lineRule="auto"/>
      </w:pPr>
      <w:r>
        <w:separator/>
      </w:r>
    </w:p>
    <w:p w14:paraId="30E51EF3" w14:textId="77777777" w:rsidR="00E8551F" w:rsidRDefault="00E8551F"/>
  </w:endnote>
  <w:endnote w:type="continuationSeparator" w:id="0">
    <w:p w14:paraId="36E34C0C" w14:textId="77777777" w:rsidR="00E8551F" w:rsidRDefault="00E8551F">
      <w:pPr>
        <w:spacing w:line="240" w:lineRule="auto"/>
      </w:pPr>
      <w:r>
        <w:continuationSeparator/>
      </w:r>
    </w:p>
    <w:p w14:paraId="48E947F8" w14:textId="77777777" w:rsidR="00E8551F" w:rsidRDefault="00E8551F"/>
  </w:endnote>
  <w:endnote w:type="continuationNotice" w:id="1">
    <w:p w14:paraId="5914077F" w14:textId="77777777" w:rsidR="00E8551F" w:rsidRDefault="00E8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4975" w14:textId="77777777" w:rsidR="00E8551F" w:rsidRDefault="00E8551F">
      <w:pPr>
        <w:spacing w:line="240" w:lineRule="auto"/>
      </w:pPr>
      <w:r>
        <w:separator/>
      </w:r>
    </w:p>
    <w:p w14:paraId="3E79E445" w14:textId="77777777" w:rsidR="00E8551F" w:rsidRDefault="00E8551F"/>
  </w:footnote>
  <w:footnote w:type="continuationSeparator" w:id="0">
    <w:p w14:paraId="0CB83374" w14:textId="77777777" w:rsidR="00E8551F" w:rsidRDefault="00E8551F">
      <w:pPr>
        <w:spacing w:line="240" w:lineRule="auto"/>
      </w:pPr>
      <w:r>
        <w:continuationSeparator/>
      </w:r>
    </w:p>
    <w:p w14:paraId="119AA802" w14:textId="77777777" w:rsidR="00E8551F" w:rsidRDefault="00E8551F"/>
  </w:footnote>
  <w:footnote w:type="continuationNotice" w:id="1">
    <w:p w14:paraId="378B0A4F" w14:textId="77777777" w:rsidR="00E8551F" w:rsidRDefault="00E855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1933</TotalTime>
  <Pages>38</Pages>
  <Words>12238</Words>
  <Characters>67315</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75</cp:revision>
  <cp:lastPrinted>2024-08-01T17:44:00Z</cp:lastPrinted>
  <dcterms:created xsi:type="dcterms:W3CDTF">2024-12-04T21:28:00Z</dcterms:created>
  <dcterms:modified xsi:type="dcterms:W3CDTF">2024-12-14T00:04:00Z</dcterms:modified>
</cp:coreProperties>
</file>