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y EDWIN PAEZ RODRIGUEZ y YENNY ALEXANDRA CARDENAS PINILLA y EDWIN PAEZ RODRIGUEZ, mayor(es) de edad, domiciliado(a)(s) y residente(s) en  y  y  y , identificado(a)(s) con la(s) cédula(s) de ciudadanía número(s) 1076620122 y 80549309 y 1076620122 y 80549309, expedida(s) en  y  y  y , de estado civil  y  y  y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