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D1892" w14:textId="270BC084" w:rsidR="00411042" w:rsidRPr="00F33387" w:rsidRDefault="00F33387" w:rsidP="00F33387">
      <w:pPr>
        <w:jc w:val="center"/>
        <w:rPr>
          <w:sz w:val="28"/>
          <w:szCs w:val="28"/>
        </w:rPr>
      </w:pPr>
      <w:r w:rsidRPr="00F33387">
        <w:rPr>
          <w:sz w:val="28"/>
          <w:szCs w:val="28"/>
        </w:rPr>
        <w:t>Prépa fiche 1 – RT</w:t>
      </w:r>
    </w:p>
    <w:p w14:paraId="2AD635FE" w14:textId="14C847B7" w:rsidR="00F33387" w:rsidRDefault="00F33387" w:rsidP="00F33387"/>
    <w:p w14:paraId="6273E2B6" w14:textId="47ECADEC" w:rsidR="00F33387" w:rsidRDefault="00F33387" w:rsidP="00F33387">
      <w:r>
        <w:t>Systèmes d’information :</w:t>
      </w:r>
    </w:p>
    <w:p w14:paraId="0EB1711B" w14:textId="6C030E15" w:rsidR="00F33387" w:rsidRDefault="00F33387" w:rsidP="00F33387">
      <w:pPr>
        <w:pStyle w:val="Paragraphedeliste"/>
        <w:numPr>
          <w:ilvl w:val="0"/>
          <w:numId w:val="27"/>
        </w:numPr>
      </w:pPr>
      <w:r>
        <w:t>SIH : Système d’information hospitalier (</w:t>
      </w:r>
      <w:r w:rsidRPr="00F33387">
        <w:t>ils organisent, au niveau informatique, les échanges d’information entre la médecine de ville et l’hôpital, ou entre services au sein d’un même hôpital</w:t>
      </w:r>
      <w:r>
        <w:t>),</w:t>
      </w:r>
    </w:p>
    <w:p w14:paraId="2FF1FDAC" w14:textId="38EE35A2" w:rsidR="00F33387" w:rsidRDefault="00F33387" w:rsidP="00F33387">
      <w:pPr>
        <w:pStyle w:val="Paragraphedeliste"/>
        <w:numPr>
          <w:ilvl w:val="0"/>
          <w:numId w:val="27"/>
        </w:numPr>
      </w:pPr>
      <w:r>
        <w:t xml:space="preserve">SIRT : Système </w:t>
      </w:r>
      <w:r w:rsidR="008762E3">
        <w:t>d’information de la</w:t>
      </w:r>
      <w:r>
        <w:t xml:space="preserve"> radiothérapie,</w:t>
      </w:r>
    </w:p>
    <w:p w14:paraId="0992DC5E" w14:textId="4E9D8F55" w:rsidR="00F33387" w:rsidRDefault="00F33387" w:rsidP="00F33387">
      <w:pPr>
        <w:pStyle w:val="Paragraphedeliste"/>
        <w:numPr>
          <w:ilvl w:val="0"/>
          <w:numId w:val="28"/>
        </w:numPr>
      </w:pPr>
      <w:r>
        <w:t xml:space="preserve">Aria, </w:t>
      </w:r>
      <w:proofErr w:type="spellStart"/>
      <w:r>
        <w:t>DxCare</w:t>
      </w:r>
      <w:proofErr w:type="spellEnd"/>
    </w:p>
    <w:p w14:paraId="0D9087EC" w14:textId="27BDC068" w:rsidR="00F33387" w:rsidRDefault="00F33387" w:rsidP="00F33387">
      <w:r>
        <w:t>Etapes du processus de RT :</w:t>
      </w:r>
    </w:p>
    <w:p w14:paraId="358B305F" w14:textId="02DD8BAE" w:rsidR="00F33387" w:rsidRDefault="00F33387" w:rsidP="00F33387">
      <w:pPr>
        <w:pStyle w:val="Paragraphedeliste"/>
        <w:numPr>
          <w:ilvl w:val="0"/>
          <w:numId w:val="27"/>
        </w:numPr>
      </w:pPr>
      <w:r>
        <w:t>Première consultation,</w:t>
      </w:r>
    </w:p>
    <w:p w14:paraId="084456B3" w14:textId="62D10909" w:rsidR="00F33387" w:rsidRDefault="00F33387" w:rsidP="00F33387">
      <w:pPr>
        <w:pStyle w:val="Paragraphedeliste"/>
        <w:numPr>
          <w:ilvl w:val="0"/>
          <w:numId w:val="27"/>
        </w:numPr>
      </w:pPr>
      <w:r>
        <w:t>RCP,</w:t>
      </w:r>
    </w:p>
    <w:p w14:paraId="08547A83" w14:textId="63E1EA37" w:rsidR="00F33387" w:rsidRDefault="00F33387" w:rsidP="00F33387">
      <w:pPr>
        <w:pStyle w:val="Paragraphedeliste"/>
        <w:numPr>
          <w:ilvl w:val="0"/>
          <w:numId w:val="27"/>
        </w:numPr>
      </w:pPr>
      <w:r>
        <w:t>Prescription,</w:t>
      </w:r>
    </w:p>
    <w:p w14:paraId="6CE327D4" w14:textId="655079FF" w:rsidR="00F33387" w:rsidRDefault="00F33387" w:rsidP="00F33387">
      <w:pPr>
        <w:pStyle w:val="Paragraphedeliste"/>
        <w:numPr>
          <w:ilvl w:val="0"/>
          <w:numId w:val="27"/>
        </w:numPr>
      </w:pPr>
      <w:r>
        <w:t>Consultation d’annonce,</w:t>
      </w:r>
    </w:p>
    <w:p w14:paraId="5B651D87" w14:textId="532016BB" w:rsidR="00F33387" w:rsidRDefault="00F33387" w:rsidP="00F33387">
      <w:pPr>
        <w:pStyle w:val="Paragraphedeliste"/>
        <w:numPr>
          <w:ilvl w:val="0"/>
          <w:numId w:val="27"/>
        </w:numPr>
      </w:pPr>
      <w:r>
        <w:t xml:space="preserve">Scanner de simulation + points de tatouages + Contentions (dont masque </w:t>
      </w:r>
      <w:proofErr w:type="gramStart"/>
      <w:r>
        <w:t>thermoformé</w:t>
      </w:r>
      <w:proofErr w:type="gramEnd"/>
      <w:r>
        <w:t xml:space="preserve"> le cas échéant),</w:t>
      </w:r>
      <w:bookmarkStart w:id="0" w:name="_GoBack"/>
      <w:bookmarkEnd w:id="0"/>
    </w:p>
    <w:p w14:paraId="6CA20E73" w14:textId="1114D3E3" w:rsidR="00F33387" w:rsidRDefault="00F33387" w:rsidP="00F33387">
      <w:pPr>
        <w:pStyle w:val="Paragraphedeliste"/>
        <w:numPr>
          <w:ilvl w:val="0"/>
          <w:numId w:val="27"/>
        </w:numPr>
      </w:pPr>
      <w:r>
        <w:t>Dosimétrie,</w:t>
      </w:r>
    </w:p>
    <w:p w14:paraId="671157AC" w14:textId="2EE901A8" w:rsidR="00F33387" w:rsidRDefault="00F33387" w:rsidP="00F33387">
      <w:pPr>
        <w:pStyle w:val="Paragraphedeliste"/>
        <w:numPr>
          <w:ilvl w:val="0"/>
          <w:numId w:val="27"/>
        </w:numPr>
      </w:pPr>
      <w:r>
        <w:t>Contrôle qualité le cas échéant,</w:t>
      </w:r>
    </w:p>
    <w:p w14:paraId="3BF154CF" w14:textId="34788907" w:rsidR="00F33387" w:rsidRDefault="00F33387" w:rsidP="00F33387">
      <w:pPr>
        <w:pStyle w:val="Paragraphedeliste"/>
        <w:numPr>
          <w:ilvl w:val="0"/>
          <w:numId w:val="27"/>
        </w:numPr>
      </w:pPr>
      <w:r>
        <w:t>Première séance,</w:t>
      </w:r>
    </w:p>
    <w:p w14:paraId="0F2DAA09" w14:textId="6296497A" w:rsidR="00F33387" w:rsidRDefault="00F33387" w:rsidP="00F33387">
      <w:pPr>
        <w:pStyle w:val="Paragraphedeliste"/>
        <w:numPr>
          <w:ilvl w:val="0"/>
          <w:numId w:val="27"/>
        </w:numPr>
      </w:pPr>
      <w:r>
        <w:t>Consultation de suivi (généralement hebdomadaire),</w:t>
      </w:r>
    </w:p>
    <w:p w14:paraId="24E8F93A" w14:textId="190C4F8C" w:rsidR="00F33387" w:rsidRDefault="00F33387" w:rsidP="00F33387">
      <w:pPr>
        <w:pStyle w:val="Paragraphedeliste"/>
        <w:numPr>
          <w:ilvl w:val="0"/>
          <w:numId w:val="27"/>
        </w:numPr>
      </w:pPr>
      <w:r>
        <w:t>Fin de radiothérapie,</w:t>
      </w:r>
    </w:p>
    <w:p w14:paraId="08545EB7" w14:textId="635F6E43" w:rsidR="00F33387" w:rsidRDefault="00F33387" w:rsidP="00F33387">
      <w:pPr>
        <w:pStyle w:val="Paragraphedeliste"/>
        <w:numPr>
          <w:ilvl w:val="0"/>
          <w:numId w:val="27"/>
        </w:numPr>
      </w:pPr>
      <w:r>
        <w:t>Consultations de suivi post-traitement.</w:t>
      </w:r>
    </w:p>
    <w:p w14:paraId="5F15DCF3" w14:textId="54B2B09E" w:rsidR="00F33387" w:rsidRDefault="00F33387" w:rsidP="00F33387">
      <w:r>
        <w:t>Phases et rôle de la simulation :</w:t>
      </w:r>
    </w:p>
    <w:p w14:paraId="662E6E05" w14:textId="4CD869DC" w:rsidR="00F33387" w:rsidRDefault="00F33387" w:rsidP="00F33387">
      <w:pPr>
        <w:pStyle w:val="Paragraphedeliste"/>
        <w:numPr>
          <w:ilvl w:val="0"/>
          <w:numId w:val="27"/>
        </w:numPr>
      </w:pPr>
      <w:r>
        <w:t>Acquisition des données anatomiques et carte des densités des tissus exprimés en unités Hounsfield,</w:t>
      </w:r>
    </w:p>
    <w:p w14:paraId="2561F052" w14:textId="281628ED" w:rsidR="00F33387" w:rsidRDefault="00A13E1F" w:rsidP="00F33387">
      <w:pPr>
        <w:pStyle w:val="Paragraphedeliste"/>
        <w:numPr>
          <w:ilvl w:val="0"/>
          <w:numId w:val="27"/>
        </w:numPr>
      </w:pPr>
      <w:r>
        <w:t>Définition des contentions afin d’avoir une position reproductible pour le patient,</w:t>
      </w:r>
    </w:p>
    <w:p w14:paraId="752CC138" w14:textId="5F79075D" w:rsidR="00A13E1F" w:rsidRDefault="00A13E1F" w:rsidP="00F33387">
      <w:pPr>
        <w:pStyle w:val="Paragraphedeliste"/>
        <w:numPr>
          <w:ilvl w:val="0"/>
          <w:numId w:val="27"/>
        </w:numPr>
      </w:pPr>
      <w:r>
        <w:t>Définition des points de repères (tatouages au niveau du flan de l’abdomen qui servent au repositionnement du patient sur les lasers),</w:t>
      </w:r>
    </w:p>
    <w:p w14:paraId="411C7059" w14:textId="33E35B6E" w:rsidR="00A13E1F" w:rsidRDefault="00A13E1F" w:rsidP="00F33387">
      <w:pPr>
        <w:pStyle w:val="Paragraphedeliste"/>
        <w:numPr>
          <w:ilvl w:val="0"/>
          <w:numId w:val="27"/>
        </w:numPr>
      </w:pPr>
      <w:r>
        <w:t>Calcul de la dose absorbée aux différents organes à risques et aux volumes cibles.</w:t>
      </w:r>
    </w:p>
    <w:p w14:paraId="34375B23" w14:textId="5940BF32" w:rsidR="00A13E1F" w:rsidRDefault="00A13E1F" w:rsidP="00A13E1F">
      <w:r>
        <w:t>Rôle et actions des professionnels lors de la dosimétrie :</w:t>
      </w:r>
    </w:p>
    <w:p w14:paraId="23F3CCD7" w14:textId="6AB6E500" w:rsidR="00A13E1F" w:rsidRDefault="00A13E1F" w:rsidP="00A13E1F">
      <w:pPr>
        <w:pStyle w:val="Paragraphedeliste"/>
        <w:numPr>
          <w:ilvl w:val="0"/>
          <w:numId w:val="27"/>
        </w:numPr>
      </w:pPr>
      <w:r>
        <w:t xml:space="preserve">Le médecin oncologue-radiothérapeute prescrit le lieu du traitement, la dose à délivrer aux volumes cibles et aux organes à risque, il choisit également la machine utilisée pour le traitement et le fractionnement du </w:t>
      </w:r>
      <w:proofErr w:type="spellStart"/>
      <w:r>
        <w:t>ttt</w:t>
      </w:r>
      <w:proofErr w:type="spellEnd"/>
      <w:r>
        <w:t>,</w:t>
      </w:r>
    </w:p>
    <w:p w14:paraId="7FC2BFC0" w14:textId="4A8ED47F" w:rsidR="00A13E1F" w:rsidRDefault="00A13E1F" w:rsidP="00A13E1F">
      <w:pPr>
        <w:pStyle w:val="Paragraphedeliste"/>
        <w:numPr>
          <w:ilvl w:val="0"/>
          <w:numId w:val="27"/>
        </w:numPr>
      </w:pPr>
      <w:r>
        <w:t>Le dosimétriste ou le physicien réalise le calcul de dose sur un TPS,</w:t>
      </w:r>
    </w:p>
    <w:p w14:paraId="647AEE84" w14:textId="6890CAED" w:rsidR="00A13E1F" w:rsidRDefault="00A13E1F" w:rsidP="00A13E1F">
      <w:pPr>
        <w:pStyle w:val="Paragraphedeliste"/>
        <w:numPr>
          <w:ilvl w:val="0"/>
          <w:numId w:val="27"/>
        </w:numPr>
      </w:pPr>
      <w:r>
        <w:t>Le physicien effectue un double calcul de dose avec un logiciel indépendant et vérifie le dossier patient puis valide le plan de traitement (responsabilité engagée),</w:t>
      </w:r>
    </w:p>
    <w:p w14:paraId="15C5D54B" w14:textId="7B5FA2D0" w:rsidR="00A13E1F" w:rsidRDefault="00A13E1F" w:rsidP="00A13E1F">
      <w:pPr>
        <w:pStyle w:val="Paragraphedeliste"/>
        <w:numPr>
          <w:ilvl w:val="0"/>
          <w:numId w:val="27"/>
        </w:numPr>
      </w:pPr>
      <w:r>
        <w:t>Le médecin radiothérapeute valide le plan de traitement à son tour (responsabilité engagée),</w:t>
      </w:r>
    </w:p>
    <w:p w14:paraId="1EF5F971" w14:textId="1A62CE5D" w:rsidR="00A13E1F" w:rsidRDefault="00A13E1F" w:rsidP="00A13E1F">
      <w:pPr>
        <w:pStyle w:val="Paragraphedeliste"/>
        <w:numPr>
          <w:ilvl w:val="0"/>
          <w:numId w:val="27"/>
        </w:numPr>
      </w:pPr>
      <w:r>
        <w:t>Les secrétaires planifient les rendez-vous avec les patients</w:t>
      </w:r>
      <w:r w:rsidR="00125B4C">
        <w:t>.</w:t>
      </w:r>
    </w:p>
    <w:p w14:paraId="5B937B82" w14:textId="27AC07BF" w:rsidR="00125B4C" w:rsidRDefault="00125B4C" w:rsidP="00125B4C">
      <w:r>
        <w:t>Prise en charge du patient pendant la séance :</w:t>
      </w:r>
    </w:p>
    <w:p w14:paraId="0DB1E954" w14:textId="1A34DF9C" w:rsidR="00125B4C" w:rsidRDefault="00125B4C" w:rsidP="00125B4C">
      <w:pPr>
        <w:pStyle w:val="Paragraphedeliste"/>
        <w:numPr>
          <w:ilvl w:val="0"/>
          <w:numId w:val="27"/>
        </w:numPr>
      </w:pPr>
      <w:r>
        <w:t>Le patient est accueilli à l’accueil et dirigé vers la salle d’attente correspondant à la machine de traitement,</w:t>
      </w:r>
    </w:p>
    <w:p w14:paraId="3257390E" w14:textId="0DD68E25" w:rsidR="00125B4C" w:rsidRDefault="00125B4C" w:rsidP="00125B4C">
      <w:pPr>
        <w:pStyle w:val="Paragraphedeliste"/>
        <w:numPr>
          <w:ilvl w:val="0"/>
          <w:numId w:val="27"/>
        </w:numPr>
      </w:pPr>
      <w:r>
        <w:t>Le manipulateur en électroradiologie médicale accueil à son tour le patient et l’oriente dans un déshabilloir puis installe le patient, lorsqu’il est près, sur la table de l’appareil,</w:t>
      </w:r>
    </w:p>
    <w:p w14:paraId="7B17EB18" w14:textId="7C7D4B4B" w:rsidR="00125B4C" w:rsidRDefault="00125B4C" w:rsidP="00125B4C">
      <w:pPr>
        <w:pStyle w:val="Paragraphedeliste"/>
        <w:numPr>
          <w:ilvl w:val="0"/>
          <w:numId w:val="27"/>
        </w:numPr>
      </w:pPr>
      <w:r>
        <w:lastRenderedPageBreak/>
        <w:t>Le manipulateur applique la position de la table définie lors du scanner dosimétrique et centre le patient de telle manière que ses points de tatouages soient alignés avec les laser de la salle de traitement,</w:t>
      </w:r>
    </w:p>
    <w:p w14:paraId="39C5ECE7" w14:textId="6DBE79F9" w:rsidR="00125B4C" w:rsidRDefault="00125B4C" w:rsidP="00125B4C">
      <w:pPr>
        <w:pStyle w:val="Paragraphedeliste"/>
        <w:numPr>
          <w:ilvl w:val="0"/>
          <w:numId w:val="27"/>
        </w:numPr>
      </w:pPr>
      <w:r>
        <w:t>Une imagerie est effectuée (CBCT, kV-kV, MV-CT ou kV-CT selon l’appareil), l’image acquise est fusionnée par le manipulateur et les décalages appliqués à l’image du jour sont appliqués à la table de traitement,</w:t>
      </w:r>
    </w:p>
    <w:p w14:paraId="3F5A3DDE" w14:textId="1F1FBD01" w:rsidR="00125B4C" w:rsidRDefault="00125B4C" w:rsidP="00125B4C">
      <w:pPr>
        <w:pStyle w:val="Paragraphedeliste"/>
        <w:numPr>
          <w:ilvl w:val="0"/>
          <w:numId w:val="27"/>
        </w:numPr>
      </w:pPr>
      <w:r>
        <w:t>Le traitement peut alors être lancé.</w:t>
      </w:r>
    </w:p>
    <w:p w14:paraId="1FA28F0F" w14:textId="1A7FA5FA" w:rsidR="00125B4C" w:rsidRDefault="00125B4C" w:rsidP="00125B4C">
      <w:r>
        <w:t xml:space="preserve">Actions de validations et contrôles obligatoires pour les plans de </w:t>
      </w:r>
      <w:proofErr w:type="spellStart"/>
      <w:r>
        <w:t>ttt</w:t>
      </w:r>
      <w:proofErr w:type="spellEnd"/>
      <w:r>
        <w:t> :</w:t>
      </w:r>
    </w:p>
    <w:p w14:paraId="2E0F312D" w14:textId="494C2159" w:rsidR="00125B4C" w:rsidRDefault="00125B4C" w:rsidP="00125B4C">
      <w:r>
        <w:t>Organisation en réseau des données du service :</w:t>
      </w:r>
    </w:p>
    <w:sectPr w:rsidR="00125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897"/>
    <w:multiLevelType w:val="hybridMultilevel"/>
    <w:tmpl w:val="E25208FE"/>
    <w:lvl w:ilvl="0" w:tplc="609CC0CE">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E8004D1"/>
    <w:multiLevelType w:val="hybridMultilevel"/>
    <w:tmpl w:val="F39A042A"/>
    <w:lvl w:ilvl="0" w:tplc="AFA609AA">
      <w:start w:val="1"/>
      <w:numFmt w:val="upperLetter"/>
      <w:pStyle w:val="Titre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F80563"/>
    <w:multiLevelType w:val="hybridMultilevel"/>
    <w:tmpl w:val="95986058"/>
    <w:lvl w:ilvl="0" w:tplc="9CD28CC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9B69DB"/>
    <w:multiLevelType w:val="hybridMultilevel"/>
    <w:tmpl w:val="DD861D3E"/>
    <w:lvl w:ilvl="0" w:tplc="C79A1AC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5D7F69"/>
    <w:multiLevelType w:val="hybridMultilevel"/>
    <w:tmpl w:val="2764873C"/>
    <w:lvl w:ilvl="0" w:tplc="2E887B50">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2896213"/>
    <w:multiLevelType w:val="hybridMultilevel"/>
    <w:tmpl w:val="919A28C0"/>
    <w:lvl w:ilvl="0" w:tplc="08C6F72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FB7820"/>
    <w:multiLevelType w:val="hybridMultilevel"/>
    <w:tmpl w:val="754669EA"/>
    <w:lvl w:ilvl="0" w:tplc="0F4650C4">
      <w:start w:val="1"/>
      <w:numFmt w:val="lowerRoman"/>
      <w:pStyle w:val="Titre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E21426"/>
    <w:multiLevelType w:val="hybridMultilevel"/>
    <w:tmpl w:val="242043F0"/>
    <w:lvl w:ilvl="0" w:tplc="5A0AC3B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7"/>
  </w:num>
  <w:num w:numId="4">
    <w:abstractNumId w:val="2"/>
  </w:num>
  <w:num w:numId="5">
    <w:abstractNumId w:val="7"/>
  </w:num>
  <w:num w:numId="6">
    <w:abstractNumId w:val="2"/>
  </w:num>
  <w:num w:numId="7">
    <w:abstractNumId w:val="7"/>
  </w:num>
  <w:num w:numId="8">
    <w:abstractNumId w:val="0"/>
  </w:num>
  <w:num w:numId="9">
    <w:abstractNumId w:val="5"/>
  </w:num>
  <w:num w:numId="10">
    <w:abstractNumId w:val="1"/>
  </w:num>
  <w:num w:numId="11">
    <w:abstractNumId w:val="7"/>
  </w:num>
  <w:num w:numId="12">
    <w:abstractNumId w:val="2"/>
  </w:num>
  <w:num w:numId="13">
    <w:abstractNumId w:val="5"/>
  </w:num>
  <w:num w:numId="14">
    <w:abstractNumId w:val="6"/>
  </w:num>
  <w:num w:numId="15">
    <w:abstractNumId w:val="1"/>
  </w:num>
  <w:num w:numId="16">
    <w:abstractNumId w:val="6"/>
  </w:num>
  <w:num w:numId="17">
    <w:abstractNumId w:val="7"/>
  </w:num>
  <w:num w:numId="18">
    <w:abstractNumId w:val="2"/>
  </w:num>
  <w:num w:numId="19">
    <w:abstractNumId w:val="5"/>
  </w:num>
  <w:num w:numId="20">
    <w:abstractNumId w:val="6"/>
  </w:num>
  <w:num w:numId="21">
    <w:abstractNumId w:val="7"/>
  </w:num>
  <w:num w:numId="22">
    <w:abstractNumId w:val="2"/>
  </w:num>
  <w:num w:numId="23">
    <w:abstractNumId w:val="5"/>
  </w:num>
  <w:num w:numId="24">
    <w:abstractNumId w:val="6"/>
  </w:num>
  <w:num w:numId="25">
    <w:abstractNumId w:val="1"/>
  </w:num>
  <w:num w:numId="26">
    <w:abstractNumId w:val="7"/>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87"/>
    <w:rsid w:val="00125B4C"/>
    <w:rsid w:val="0019447A"/>
    <w:rsid w:val="00251FBA"/>
    <w:rsid w:val="003E11E6"/>
    <w:rsid w:val="00404459"/>
    <w:rsid w:val="00411042"/>
    <w:rsid w:val="005A45AA"/>
    <w:rsid w:val="008762E3"/>
    <w:rsid w:val="00A13E1F"/>
    <w:rsid w:val="00F33387"/>
    <w:rsid w:val="00F46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0A3"/>
  <w15:chartTrackingRefBased/>
  <w15:docId w15:val="{16D8A5BD-2FF3-47C8-BB1A-A7300012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fr-FR"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459"/>
    <w:pPr>
      <w:spacing w:before="0"/>
    </w:pPr>
  </w:style>
  <w:style w:type="paragraph" w:styleId="Titre1">
    <w:name w:val="heading 1"/>
    <w:basedOn w:val="Normal"/>
    <w:next w:val="Normal"/>
    <w:link w:val="Titre1Car"/>
    <w:autoRedefine/>
    <w:uiPriority w:val="9"/>
    <w:qFormat/>
    <w:rsid w:val="00404459"/>
    <w:pPr>
      <w:widowControl w:val="0"/>
      <w:numPr>
        <w:numId w:val="5"/>
      </w:numPr>
      <w:spacing w:before="120" w:after="120" w:line="240" w:lineRule="auto"/>
      <w:ind w:left="357" w:firstLine="709"/>
      <w:outlineLvl w:val="0"/>
    </w:pPr>
    <w:rPr>
      <w:rFonts w:eastAsiaTheme="majorEastAsia" w:cstheme="majorBidi"/>
      <w:color w:val="000000" w:themeColor="text1"/>
      <w:sz w:val="24"/>
      <w:szCs w:val="32"/>
    </w:rPr>
  </w:style>
  <w:style w:type="paragraph" w:styleId="Titre2">
    <w:name w:val="heading 2"/>
    <w:basedOn w:val="Normal"/>
    <w:next w:val="Normal"/>
    <w:link w:val="Titre2Car"/>
    <w:autoRedefine/>
    <w:uiPriority w:val="9"/>
    <w:semiHidden/>
    <w:unhideWhenUsed/>
    <w:qFormat/>
    <w:rsid w:val="0019447A"/>
    <w:pPr>
      <w:keepNext/>
      <w:keepLines/>
      <w:numPr>
        <w:numId w:val="22"/>
      </w:numPr>
      <w:spacing w:before="240" w:after="240"/>
      <w:outlineLvl w:val="1"/>
    </w:pPr>
    <w:rPr>
      <w:rFonts w:eastAsiaTheme="majorEastAsia" w:cstheme="majorBidi"/>
      <w:color w:val="000000" w:themeColor="text1"/>
      <w:szCs w:val="26"/>
    </w:rPr>
  </w:style>
  <w:style w:type="paragraph" w:styleId="Titre3">
    <w:name w:val="heading 3"/>
    <w:basedOn w:val="Normal"/>
    <w:next w:val="Normal"/>
    <w:link w:val="Titre3Car"/>
    <w:autoRedefine/>
    <w:uiPriority w:val="9"/>
    <w:semiHidden/>
    <w:unhideWhenUsed/>
    <w:qFormat/>
    <w:rsid w:val="0019447A"/>
    <w:pPr>
      <w:keepNext/>
      <w:keepLines/>
      <w:numPr>
        <w:numId w:val="23"/>
      </w:numPr>
      <w:spacing w:before="240" w:after="240"/>
      <w:outlineLvl w:val="2"/>
    </w:pPr>
    <w:rPr>
      <w:rFonts w:eastAsiaTheme="majorEastAsia" w:cstheme="majorBidi"/>
      <w:color w:val="1F3763" w:themeColor="accent1" w:themeShade="7F"/>
      <w:sz w:val="24"/>
      <w:szCs w:val="24"/>
    </w:rPr>
  </w:style>
  <w:style w:type="paragraph" w:styleId="Titre4">
    <w:name w:val="heading 4"/>
    <w:basedOn w:val="Normal"/>
    <w:next w:val="Normal"/>
    <w:link w:val="Titre4Car"/>
    <w:autoRedefine/>
    <w:uiPriority w:val="9"/>
    <w:semiHidden/>
    <w:unhideWhenUsed/>
    <w:qFormat/>
    <w:rsid w:val="0019447A"/>
    <w:pPr>
      <w:keepNext/>
      <w:keepLines/>
      <w:numPr>
        <w:numId w:val="24"/>
      </w:numPr>
      <w:spacing w:before="240" w:after="240"/>
      <w:outlineLvl w:val="3"/>
    </w:pPr>
    <w:rPr>
      <w:rFonts w:eastAsiaTheme="majorEastAsia" w:cstheme="majorBidi"/>
      <w:i/>
      <w:iCs/>
      <w:color w:val="2F5496" w:themeColor="accent1" w:themeShade="BF"/>
    </w:rPr>
  </w:style>
  <w:style w:type="paragraph" w:styleId="Titre5">
    <w:name w:val="heading 5"/>
    <w:basedOn w:val="Normal"/>
    <w:next w:val="Normal"/>
    <w:link w:val="Titre5Car"/>
    <w:autoRedefine/>
    <w:uiPriority w:val="9"/>
    <w:semiHidden/>
    <w:unhideWhenUsed/>
    <w:qFormat/>
    <w:rsid w:val="0019447A"/>
    <w:pPr>
      <w:keepNext/>
      <w:keepLines/>
      <w:numPr>
        <w:numId w:val="25"/>
      </w:numPr>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4459"/>
    <w:rPr>
      <w:rFonts w:eastAsiaTheme="majorEastAsia" w:cstheme="majorBidi"/>
      <w:color w:val="000000" w:themeColor="text1"/>
      <w:sz w:val="24"/>
      <w:szCs w:val="32"/>
    </w:rPr>
  </w:style>
  <w:style w:type="character" w:customStyle="1" w:styleId="Titre2Car">
    <w:name w:val="Titre 2 Car"/>
    <w:basedOn w:val="Policepardfaut"/>
    <w:link w:val="Titre2"/>
    <w:uiPriority w:val="9"/>
    <w:semiHidden/>
    <w:rsid w:val="0019447A"/>
    <w:rPr>
      <w:rFonts w:eastAsiaTheme="majorEastAsia" w:cstheme="majorBidi"/>
      <w:color w:val="000000" w:themeColor="text1"/>
      <w:szCs w:val="26"/>
    </w:rPr>
  </w:style>
  <w:style w:type="paragraph" w:styleId="Paragraphedeliste">
    <w:name w:val="List Paragraph"/>
    <w:basedOn w:val="Normal"/>
    <w:uiPriority w:val="34"/>
    <w:rsid w:val="0019447A"/>
    <w:pPr>
      <w:ind w:left="720"/>
      <w:contextualSpacing/>
    </w:pPr>
  </w:style>
  <w:style w:type="paragraph" w:styleId="Sansinterligne">
    <w:name w:val="No Spacing"/>
    <w:next w:val="Normal"/>
    <w:autoRedefine/>
    <w:uiPriority w:val="1"/>
    <w:rsid w:val="0019447A"/>
    <w:pPr>
      <w:keepNext/>
      <w:spacing w:before="0" w:after="0" w:line="240" w:lineRule="auto"/>
      <w:outlineLvl w:val="2"/>
    </w:pPr>
  </w:style>
  <w:style w:type="paragraph" w:customStyle="1" w:styleId="StyleGou">
    <w:name w:val="Style Gou"/>
    <w:basedOn w:val="Normal"/>
    <w:next w:val="Normal"/>
    <w:link w:val="StyleGouCar"/>
    <w:autoRedefine/>
    <w:rsid w:val="0019447A"/>
    <w:pPr>
      <w:keepNext/>
      <w:framePr w:wrap="around" w:vAnchor="text" w:hAnchor="text" w:y="1"/>
      <w:widowControl w:val="0"/>
      <w:spacing w:before="240" w:after="240"/>
    </w:pPr>
  </w:style>
  <w:style w:type="character" w:customStyle="1" w:styleId="StyleGouCar">
    <w:name w:val="Style Gou Car"/>
    <w:basedOn w:val="Policepardfaut"/>
    <w:link w:val="StyleGou"/>
    <w:rsid w:val="0019447A"/>
    <w:rPr>
      <w:rFonts w:asciiTheme="minorHAnsi" w:hAnsiTheme="minorHAnsi"/>
    </w:rPr>
  </w:style>
  <w:style w:type="paragraph" w:customStyle="1" w:styleId="Titre1Gu">
    <w:name w:val="Titre 1Gu"/>
    <w:basedOn w:val="Titre1"/>
    <w:link w:val="Titre1GuCar"/>
    <w:autoRedefine/>
    <w:qFormat/>
    <w:rsid w:val="0019447A"/>
    <w:pPr>
      <w:ind w:left="720" w:hanging="360"/>
    </w:pPr>
  </w:style>
  <w:style w:type="character" w:customStyle="1" w:styleId="Titre1GuCar">
    <w:name w:val="Titre 1Gu Car"/>
    <w:basedOn w:val="Policepardfaut"/>
    <w:link w:val="Titre1Gu"/>
    <w:rsid w:val="0019447A"/>
    <w:rPr>
      <w:rFonts w:asciiTheme="minorHAnsi" w:eastAsiaTheme="majorEastAsia" w:hAnsiTheme="minorHAnsi" w:cstheme="majorBidi"/>
      <w:color w:val="000000" w:themeColor="text1"/>
      <w:sz w:val="24"/>
      <w:szCs w:val="32"/>
    </w:rPr>
  </w:style>
  <w:style w:type="paragraph" w:customStyle="1" w:styleId="Titre2Gu">
    <w:name w:val="Titre 2Gu"/>
    <w:basedOn w:val="Titre2"/>
    <w:link w:val="Titre2GuCar"/>
    <w:autoRedefine/>
    <w:qFormat/>
    <w:rsid w:val="0019447A"/>
    <w:pPr>
      <w:numPr>
        <w:numId w:val="0"/>
      </w:numPr>
      <w:ind w:left="1080" w:hanging="360"/>
    </w:pPr>
  </w:style>
  <w:style w:type="character" w:customStyle="1" w:styleId="Titre2GuCar">
    <w:name w:val="Titre 2Gu Car"/>
    <w:basedOn w:val="Titre2Car"/>
    <w:link w:val="Titre2Gu"/>
    <w:rsid w:val="0019447A"/>
    <w:rPr>
      <w:rFonts w:eastAsiaTheme="majorEastAsia" w:cstheme="majorBidi"/>
      <w:color w:val="000000" w:themeColor="text1"/>
      <w:szCs w:val="26"/>
    </w:rPr>
  </w:style>
  <w:style w:type="character" w:customStyle="1" w:styleId="Titre3Car">
    <w:name w:val="Titre 3 Car"/>
    <w:basedOn w:val="Policepardfaut"/>
    <w:link w:val="Titre3"/>
    <w:uiPriority w:val="9"/>
    <w:semiHidden/>
    <w:rsid w:val="0019447A"/>
    <w:rPr>
      <w:rFonts w:eastAsiaTheme="majorEastAsia" w:cstheme="majorBidi"/>
      <w:color w:val="1F3763" w:themeColor="accent1" w:themeShade="7F"/>
      <w:sz w:val="24"/>
      <w:szCs w:val="24"/>
    </w:rPr>
  </w:style>
  <w:style w:type="character" w:customStyle="1" w:styleId="Titre5Car">
    <w:name w:val="Titre 5 Car"/>
    <w:basedOn w:val="Policepardfaut"/>
    <w:link w:val="Titre5"/>
    <w:uiPriority w:val="9"/>
    <w:semiHidden/>
    <w:rsid w:val="0019447A"/>
    <w:rPr>
      <w:rFonts w:asciiTheme="majorHAnsi" w:eastAsiaTheme="majorEastAsia" w:hAnsiTheme="majorHAnsi" w:cstheme="majorBidi"/>
      <w:color w:val="2F5496" w:themeColor="accent1" w:themeShade="BF"/>
    </w:rPr>
  </w:style>
  <w:style w:type="character" w:customStyle="1" w:styleId="Titre4Car">
    <w:name w:val="Titre 4 Car"/>
    <w:basedOn w:val="Policepardfaut"/>
    <w:link w:val="Titre4"/>
    <w:uiPriority w:val="9"/>
    <w:semiHidden/>
    <w:rsid w:val="0019447A"/>
    <w:rPr>
      <w:rFonts w:eastAsiaTheme="majorEastAsia" w:cstheme="majorBidi"/>
      <w:i/>
      <w:iCs/>
      <w:color w:val="2F5496" w:themeColor="accent1" w:themeShade="BF"/>
    </w:rPr>
  </w:style>
  <w:style w:type="paragraph" w:styleId="Citationintense">
    <w:name w:val="Intense Quote"/>
    <w:basedOn w:val="Normal"/>
    <w:next w:val="Normal"/>
    <w:link w:val="CitationintenseCar"/>
    <w:uiPriority w:val="30"/>
    <w:rsid w:val="001944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9447A"/>
    <w:rPr>
      <w:rFonts w:asciiTheme="minorHAnsi" w:hAnsiTheme="minorHAns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415</Words>
  <Characters>2286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Gontier</dc:creator>
  <cp:keywords/>
  <dc:description/>
  <cp:lastModifiedBy>Gontier Charlotte</cp:lastModifiedBy>
  <cp:revision>2</cp:revision>
  <dcterms:created xsi:type="dcterms:W3CDTF">2022-07-01T09:42:00Z</dcterms:created>
  <dcterms:modified xsi:type="dcterms:W3CDTF">2022-07-05T16:07:00Z</dcterms:modified>
</cp:coreProperties>
</file>