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D4BA42" w14:textId="77777777" w:rsidR="00E67E3C" w:rsidRPr="00C43227" w:rsidRDefault="00C43227" w:rsidP="00C43227">
      <w:pPr>
        <w:jc w:val="center"/>
        <w:rPr>
          <w:b/>
          <w:sz w:val="32"/>
        </w:rPr>
      </w:pPr>
      <w:r w:rsidRPr="00C43227">
        <w:rPr>
          <w:b/>
          <w:sz w:val="32"/>
        </w:rPr>
        <w:t>Prépa fiche 2 RT</w:t>
      </w:r>
    </w:p>
    <w:p w14:paraId="34FA313F" w14:textId="77777777" w:rsidR="00C43227" w:rsidRDefault="00C43227" w:rsidP="00C43227">
      <w:pPr>
        <w:jc w:val="center"/>
        <w:rPr>
          <w:b/>
        </w:rPr>
      </w:pPr>
    </w:p>
    <w:p w14:paraId="7D400B5C" w14:textId="77777777" w:rsidR="00C43227" w:rsidRPr="00C43227" w:rsidRDefault="00C43227" w:rsidP="00C43227">
      <w:pPr>
        <w:rPr>
          <w:i/>
          <w:u w:val="single"/>
        </w:rPr>
      </w:pPr>
      <w:r w:rsidRPr="00C43227">
        <w:rPr>
          <w:i/>
          <w:u w:val="single"/>
        </w:rPr>
        <w:t>Décision 27 juillet 2007 :</w:t>
      </w:r>
    </w:p>
    <w:p w14:paraId="1D00C195" w14:textId="1F08DBCD" w:rsidR="0060408F" w:rsidRDefault="00C43227" w:rsidP="00C43227">
      <w:r>
        <w:t>N’exclue pas d’a</w:t>
      </w:r>
      <w:r w:rsidR="0060408F">
        <w:t xml:space="preserve">utres </w:t>
      </w:r>
      <w:r w:rsidR="00CC1289">
        <w:t>contrôles complémentaires</w:t>
      </w:r>
      <w:r w:rsidR="0060408F">
        <w:t xml:space="preserve"> et les bonnes pratiques </w:t>
      </w:r>
    </w:p>
    <w:p w14:paraId="410F4007" w14:textId="77777777" w:rsidR="00C43227" w:rsidRDefault="0060408F" w:rsidP="00C43227">
      <w:r>
        <w:t xml:space="preserve">Non traités ici : </w:t>
      </w:r>
      <w:proofErr w:type="spellStart"/>
      <w:r>
        <w:t>Gating</w:t>
      </w:r>
      <w:proofErr w:type="spellEnd"/>
      <w:r>
        <w:t>, IMRT, Stéréo</w:t>
      </w:r>
    </w:p>
    <w:p w14:paraId="011830A7" w14:textId="77777777" w:rsidR="00BD3A74" w:rsidRDefault="00BD3A74" w:rsidP="00C43227">
      <w:r>
        <w:t xml:space="preserve">Registre : Date de réalisation des CQI, marque, modèle, n° de série, </w:t>
      </w:r>
      <w:r w:rsidR="002C1590">
        <w:t xml:space="preserve">date de fin de validité du matériel de contrôle, résultats des tests, NC, </w:t>
      </w:r>
      <w:r>
        <w:t xml:space="preserve">date de remise en conf, </w:t>
      </w:r>
      <w:r w:rsidR="002C1590">
        <w:t>signalements ANSM.</w:t>
      </w:r>
    </w:p>
    <w:p w14:paraId="180F1D8F" w14:textId="77777777" w:rsidR="00515A72" w:rsidRDefault="00515A72" w:rsidP="00C43227">
      <w:r>
        <w:t>Sauf mention contraire :</w:t>
      </w:r>
    </w:p>
    <w:p w14:paraId="16EDB4D8" w14:textId="77777777" w:rsidR="00515A72" w:rsidRDefault="00515A72" w:rsidP="00515A72">
      <w:pPr>
        <w:pStyle w:val="Paragraphedeliste"/>
        <w:numPr>
          <w:ilvl w:val="0"/>
          <w:numId w:val="1"/>
        </w:numPr>
      </w:pPr>
      <w:r>
        <w:t xml:space="preserve">Ecart &lt; 2x la limite d’acceptabilité </w:t>
      </w:r>
      <w:r>
        <w:sym w:font="Wingdings" w:char="F0E0"/>
      </w:r>
      <w:r>
        <w:t xml:space="preserve"> Remise en conformité dès que possible dans un délai de 2 mois,</w:t>
      </w:r>
    </w:p>
    <w:p w14:paraId="383F82CC" w14:textId="77777777" w:rsidR="00515A72" w:rsidRDefault="00515A72" w:rsidP="00515A72">
      <w:pPr>
        <w:pStyle w:val="Paragraphedeliste"/>
        <w:numPr>
          <w:ilvl w:val="0"/>
          <w:numId w:val="1"/>
        </w:numPr>
      </w:pPr>
      <w:r>
        <w:t xml:space="preserve">Ecart &gt; 2x la limite d’acceptabilité </w:t>
      </w:r>
      <w:r>
        <w:sym w:font="Wingdings" w:char="F0E0"/>
      </w:r>
      <w:r>
        <w:t xml:space="preserve"> Arrêt de l’exploitation jusqu’à remise en conformité pour le paramètre concerné et signalement ANSM</w:t>
      </w:r>
    </w:p>
    <w:p w14:paraId="77899067" w14:textId="77777777" w:rsidR="00515A72" w:rsidRDefault="00515A72" w:rsidP="00515A72">
      <w:r>
        <w:t>Défs :</w:t>
      </w:r>
    </w:p>
    <w:p w14:paraId="7375C217" w14:textId="77777777" w:rsidR="00515A72" w:rsidRPr="0026392E" w:rsidRDefault="00515A72" w:rsidP="00515A72">
      <w:pPr>
        <w:pStyle w:val="Paragraphedeliste"/>
        <w:numPr>
          <w:ilvl w:val="0"/>
          <w:numId w:val="1"/>
        </w:numPr>
      </w:pPr>
      <w:r>
        <w:t>Reproductibilité :  C</w:t>
      </w:r>
      <w:r>
        <w:rPr>
          <w:rFonts w:eastAsiaTheme="minorEastAsia"/>
        </w:rPr>
        <w:t>oefficient de variabilité </w:t>
      </w:r>
      <w:r w:rsidR="0026392E" w:rsidRPr="0026392E">
        <w:rPr>
          <w:rFonts w:eastAsiaTheme="minorEastAsia"/>
        </w:rPr>
        <w:sym w:font="Wingdings" w:char="F0E0"/>
      </w:r>
      <w:r>
        <w:rPr>
          <w:rFonts w:eastAsiaTheme="minorEastAsia"/>
        </w:rPr>
        <w:t xml:space="preserve"> </w:t>
      </w: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100</m:t>
            </m:r>
          </m:num>
          <m:den>
            <m:acc>
              <m:accPr>
                <m:chr m:val="̅"/>
                <m:ctrlPr>
                  <w:rPr>
                    <w:rFonts w:ascii="Cambria Math" w:eastAsiaTheme="minorEastAsia" w:hAnsi="Cambria Math"/>
                    <w:i/>
                  </w:rPr>
                </m:ctrlPr>
              </m:accPr>
              <m:e>
                <m:r>
                  <w:rPr>
                    <w:rFonts w:ascii="Cambria Math" w:eastAsiaTheme="minorEastAsia" w:hAnsi="Cambria Math"/>
                  </w:rPr>
                  <m:t>R</m:t>
                </m:r>
              </m:e>
            </m:acc>
          </m:den>
        </m:f>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e>
                  <m:sup>
                    <m:r>
                      <w:rPr>
                        <w:rFonts w:ascii="Cambria Math" w:eastAsiaTheme="minorEastAsia" w:hAnsi="Cambria Math"/>
                      </w:rPr>
                      <m:t>2</m:t>
                    </m:r>
                  </m:sup>
                </m:sSup>
              </m:num>
              <m:den>
                <m:r>
                  <w:rPr>
                    <w:rFonts w:ascii="Cambria Math" w:eastAsiaTheme="minorEastAsia" w:hAnsi="Cambria Math"/>
                  </w:rPr>
                  <m:t>n-1</m:t>
                </m:r>
              </m:den>
            </m:f>
          </m:e>
        </m:rad>
      </m:oMath>
      <w:r w:rsidR="0026392E">
        <w:rPr>
          <w:rFonts w:eastAsiaTheme="minorEastAsia"/>
        </w:rPr>
        <w:t xml:space="preserve">  pour une variable R</w:t>
      </w:r>
    </w:p>
    <w:p w14:paraId="07A3E42B" w14:textId="77777777" w:rsidR="0026392E" w:rsidRPr="0026392E" w:rsidRDefault="0026392E" w:rsidP="00515A72">
      <w:pPr>
        <w:pStyle w:val="Paragraphedeliste"/>
        <w:numPr>
          <w:ilvl w:val="0"/>
          <w:numId w:val="1"/>
        </w:numPr>
      </w:pPr>
      <w:r>
        <w:rPr>
          <w:rFonts w:eastAsiaTheme="minorEastAsia"/>
        </w:rPr>
        <w:t xml:space="preserve">Zone homogène d’un champ en régime photons : Champs carrés de </w:t>
      </w:r>
      <w:proofErr w:type="spellStart"/>
      <w:r>
        <w:rPr>
          <w:rFonts w:eastAsiaTheme="minorEastAsia"/>
        </w:rPr>
        <w:t>dim</w:t>
      </w:r>
      <w:proofErr w:type="spellEnd"/>
      <w:r>
        <w:rPr>
          <w:rFonts w:eastAsiaTheme="minorEastAsia"/>
        </w:rPr>
        <w:t xml:space="preserve"> </w:t>
      </w:r>
      <m:oMath>
        <m:r>
          <w:rPr>
            <w:rFonts w:ascii="Cambria Math" w:eastAsiaTheme="minorEastAsia" w:hAnsi="Cambria Math"/>
          </w:rPr>
          <m:t>≥</m:t>
        </m:r>
      </m:oMath>
      <w:r>
        <w:rPr>
          <w:rFonts w:eastAsiaTheme="minorEastAsia"/>
        </w:rPr>
        <w:t xml:space="preserve"> 10 cmxcm est définie par la surface contenant des points distants de l’axe d’au plus 80 % axes médians/2 du champ lumineux pour les points sur les médianes et d’au plus 70 % de la longueur des diag/2 du chp lumineux po</w:t>
      </w:r>
      <w:proofErr w:type="spellStart"/>
      <w:r>
        <w:rPr>
          <w:rFonts w:eastAsiaTheme="minorEastAsia"/>
        </w:rPr>
        <w:t>ur</w:t>
      </w:r>
      <w:proofErr w:type="spellEnd"/>
      <w:r>
        <w:rPr>
          <w:rFonts w:eastAsiaTheme="minorEastAsia"/>
        </w:rPr>
        <w:t xml:space="preserve"> les points sur les </w:t>
      </w:r>
      <w:proofErr w:type="spellStart"/>
      <w:r>
        <w:rPr>
          <w:rFonts w:eastAsiaTheme="minorEastAsia"/>
        </w:rPr>
        <w:t>diags</w:t>
      </w:r>
      <w:proofErr w:type="spellEnd"/>
      <w:r>
        <w:rPr>
          <w:rFonts w:eastAsiaTheme="minorEastAsia"/>
        </w:rPr>
        <w:t>, la dose étant normalisée à 100 % sur l’axe du faisceau. Pourcentages ramenés à 60 % pour les champs de 5x5 à 10x10 cm².</w:t>
      </w:r>
    </w:p>
    <w:p w14:paraId="35750A2E" w14:textId="77777777" w:rsidR="0026392E" w:rsidRDefault="0026392E" w:rsidP="00515A72">
      <w:pPr>
        <w:pStyle w:val="Paragraphedeliste"/>
        <w:numPr>
          <w:ilvl w:val="0"/>
          <w:numId w:val="1"/>
        </w:numPr>
      </w:pPr>
      <w:r>
        <w:t xml:space="preserve">Facteur d’homogénéité d’un </w:t>
      </w:r>
      <w:proofErr w:type="spellStart"/>
      <w:r>
        <w:t>chp</w:t>
      </w:r>
      <w:proofErr w:type="spellEnd"/>
      <w:r>
        <w:t xml:space="preserve"> en régime e- : Définis par le rapport de la largeur de l’isodose 90 % à la largeur de l’isodose 50 %.</w:t>
      </w:r>
    </w:p>
    <w:p w14:paraId="66146844" w14:textId="77777777" w:rsidR="0026392E" w:rsidRDefault="0026392E" w:rsidP="00515A72">
      <w:pPr>
        <w:pStyle w:val="Paragraphedeliste"/>
        <w:numPr>
          <w:ilvl w:val="0"/>
          <w:numId w:val="1"/>
        </w:numPr>
      </w:pPr>
      <w:r>
        <w:t>Facteur de transmission du filtre en coin : Définis par le rapport des doses mesurées sur l’axe dans les conditions de réf (4.10) avec et sans filtre en coin.</w:t>
      </w:r>
    </w:p>
    <w:p w14:paraId="37F0E593" w14:textId="77777777" w:rsidR="0026392E" w:rsidRDefault="0026392E" w:rsidP="00515A72">
      <w:pPr>
        <w:pStyle w:val="Paragraphedeliste"/>
        <w:numPr>
          <w:ilvl w:val="0"/>
          <w:numId w:val="1"/>
        </w:numPr>
      </w:pPr>
      <w:r>
        <w:t xml:space="preserve">Pénombre : Pénombre physique est caractérisée par la distance latérale entre le point 80 % et le point 20 % de la dose sur l’axe du faisceau, « mesurée sur les axes principaux des champs carrés à la profondeur de </w:t>
      </w:r>
      <w:proofErr w:type="spellStart"/>
      <w:r>
        <w:t>ref</w:t>
      </w:r>
      <w:proofErr w:type="spellEnd"/>
      <w:r>
        <w:t> ».</w:t>
      </w:r>
    </w:p>
    <w:p w14:paraId="2FA40F52" w14:textId="77777777" w:rsidR="0026392E" w:rsidRDefault="00B02D65" w:rsidP="00515A72">
      <w:pPr>
        <w:pStyle w:val="Paragraphedeliste"/>
        <w:numPr>
          <w:ilvl w:val="0"/>
          <w:numId w:val="1"/>
        </w:numPr>
      </w:pPr>
      <w:r>
        <w:t xml:space="preserve">Indice de qualité </w:t>
      </w:r>
      <m:oMath>
        <m:r>
          <w:rPr>
            <w:rFonts w:ascii="Cambria Math" w:hAnsi="Cambria Math"/>
          </w:rPr>
          <m:t>TP</m:t>
        </m:r>
        <m:sSubSup>
          <m:sSubSupPr>
            <m:ctrlPr>
              <w:rPr>
                <w:rFonts w:ascii="Cambria Math" w:hAnsi="Cambria Math"/>
                <w:i/>
              </w:rPr>
            </m:ctrlPr>
          </m:sSubSupPr>
          <m:e>
            <m:r>
              <w:rPr>
                <w:rFonts w:ascii="Cambria Math" w:hAnsi="Cambria Math"/>
              </w:rPr>
              <m:t>R</m:t>
            </m:r>
          </m:e>
          <m:sub>
            <m:r>
              <w:rPr>
                <w:rFonts w:ascii="Cambria Math" w:hAnsi="Cambria Math"/>
              </w:rPr>
              <m:t>10</m:t>
            </m:r>
          </m:sub>
          <m:sup>
            <m:r>
              <w:rPr>
                <w:rFonts w:ascii="Cambria Math" w:hAnsi="Cambria Math"/>
              </w:rPr>
              <m:t>20</m:t>
            </m:r>
          </m:sup>
        </m:sSubSup>
        <m:r>
          <w:rPr>
            <w:rFonts w:ascii="Cambria Math" w:eastAsiaTheme="minorEastAsia" w:hAnsi="Cambria Math"/>
          </w:rPr>
          <m:t xml:space="preserve"> ou RT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10</m:t>
            </m:r>
          </m:sub>
          <m:sup>
            <m:r>
              <w:rPr>
                <w:rFonts w:ascii="Cambria Math" w:eastAsiaTheme="minorEastAsia" w:hAnsi="Cambria Math"/>
              </w:rPr>
              <m:t>20</m:t>
            </m:r>
          </m:sup>
        </m:sSubSup>
      </m:oMath>
      <w:r>
        <w:t xml:space="preserve"> : Rapport des doses absorbées aux profondeurs de 20 cm et 10 cm dans l’eau avec une </w:t>
      </w:r>
      <w:r w:rsidRPr="00B02D65">
        <w:rPr>
          <w:b/>
        </w:rPr>
        <w:t>distance source-détecteur constante</w:t>
      </w:r>
      <w:r>
        <w:t xml:space="preserve"> de 100 cm et un champ de </w:t>
      </w:r>
      <w:proofErr w:type="spellStart"/>
      <w:r>
        <w:t>dim</w:t>
      </w:r>
      <w:proofErr w:type="spellEnd"/>
      <w:r>
        <w:t xml:space="preserve"> 10x10 cm² au niveau du « plan du détecteur ».</w:t>
      </w:r>
    </w:p>
    <w:p w14:paraId="43EC8B3D" w14:textId="77777777" w:rsidR="00B02D65" w:rsidRPr="00B02D65" w:rsidRDefault="00B02D65" w:rsidP="00515A72">
      <w:pPr>
        <w:pStyle w:val="Paragraphedeliste"/>
        <w:numPr>
          <w:ilvl w:val="0"/>
          <w:numId w:val="1"/>
        </w:numPr>
      </w:pPr>
      <w:r>
        <w:t xml:space="preserve">Indice de qualité </w:t>
      </w:r>
      <m:oMath>
        <m:r>
          <w:rPr>
            <w:rFonts w:ascii="Cambria Math" w:hAnsi="Cambria Math"/>
          </w:rPr>
          <m:t>D20/D10</m:t>
        </m:r>
      </m:oMath>
      <w:r>
        <w:rPr>
          <w:rFonts w:eastAsiaTheme="minorEastAsia"/>
        </w:rPr>
        <w:t xml:space="preserve"> : Rapport des doses absorbées aux profondeurs de 20 et 10 cm dans l’eau avec une </w:t>
      </w:r>
      <w:r w:rsidRPr="00B02D65">
        <w:rPr>
          <w:rFonts w:eastAsiaTheme="minorEastAsia"/>
          <w:b/>
        </w:rPr>
        <w:t>DSS (Distance source-surface) constante</w:t>
      </w:r>
      <w:r>
        <w:rPr>
          <w:rFonts w:eastAsiaTheme="minorEastAsia"/>
        </w:rPr>
        <w:t xml:space="preserve"> et un champ de dimension 10x10 cm² à la surface du fantôme.</w:t>
      </w:r>
    </w:p>
    <w:p w14:paraId="64A683D1" w14:textId="77777777" w:rsidR="00B02D65" w:rsidRDefault="0005109E" w:rsidP="00515A72">
      <w:pPr>
        <w:pStyle w:val="Paragraphedeliste"/>
        <w:numPr>
          <w:ilvl w:val="0"/>
          <w:numId w:val="1"/>
        </w:numPr>
      </w:pPr>
      <w:r>
        <w:t>Indice de stabilité de l’énergie en régime électron</w:t>
      </w:r>
      <w:r w:rsidR="002B5BB0">
        <w:t xml:space="preserve"> : </w:t>
      </w:r>
    </w:p>
    <w:p w14:paraId="631BCEE7" w14:textId="77777777" w:rsidR="002B5BB0" w:rsidRPr="002B5BB0" w:rsidRDefault="002B5BB0" w:rsidP="002B5BB0">
      <w:pPr>
        <w:pStyle w:val="Paragraphedeliste"/>
        <w:numPr>
          <w:ilvl w:val="1"/>
          <w:numId w:val="1"/>
        </w:numPr>
      </w:pPr>
      <w:r>
        <w:t>Rapport J2/J1 : Rapport de l’ionisation J2 mesurée sur l’axe du faisceau à la profondeur constante correspondant à approximativement égal à 50 % (</w:t>
      </w:r>
      <m:oMath>
        <m:r>
          <w:rPr>
            <w:rFonts w:ascii="Cambria Math" w:hAnsi="Cambria Math"/>
          </w:rPr>
          <m:t>±10%</m:t>
        </m:r>
      </m:oMath>
      <w:r>
        <w:rPr>
          <w:rFonts w:eastAsiaTheme="minorEastAsia"/>
        </w:rPr>
        <w:t>) de la dose max avec l’ionisation J1 mesurée sur l’axe du faisceau à la profondeur du maximum de dose dans les conditions de ref.</w:t>
      </w:r>
    </w:p>
    <w:p w14:paraId="3CDD55ED" w14:textId="16747BB4" w:rsidR="002B5BB0" w:rsidRPr="00CC1289" w:rsidRDefault="002B5BB0" w:rsidP="002B5BB0">
      <w:pPr>
        <w:pStyle w:val="Paragraphedeliste"/>
        <w:numPr>
          <w:ilvl w:val="1"/>
          <w:numId w:val="1"/>
        </w:numPr>
      </w:pPr>
      <w:r>
        <w:rPr>
          <w:rFonts w:eastAsiaTheme="minorEastAsia"/>
        </w:rPr>
        <w:t xml:space="preserve">Profondeur R50 : </w:t>
      </w:r>
      <w:r w:rsidR="00CC1289">
        <w:rPr>
          <w:rFonts w:eastAsiaTheme="minorEastAsia"/>
        </w:rPr>
        <w:t>Profondeur dans l’eau pour laquelle la dose absorbée est de 50% de la pro</w:t>
      </w:r>
      <w:r w:rsidR="00EF6EDF">
        <w:rPr>
          <w:rFonts w:eastAsiaTheme="minorEastAsia"/>
        </w:rPr>
        <w:t>fo</w:t>
      </w:r>
      <w:r w:rsidR="00CC1289">
        <w:rPr>
          <w:rFonts w:eastAsiaTheme="minorEastAsia"/>
        </w:rPr>
        <w:t xml:space="preserve">ndeur du max de dose abs déterminée dans les conditions de </w:t>
      </w:r>
      <w:proofErr w:type="spellStart"/>
      <w:r w:rsidR="00CC1289">
        <w:rPr>
          <w:rFonts w:eastAsiaTheme="minorEastAsia"/>
        </w:rPr>
        <w:t>ref</w:t>
      </w:r>
      <w:proofErr w:type="spellEnd"/>
      <w:r w:rsidR="00CC1289">
        <w:rPr>
          <w:rFonts w:eastAsiaTheme="minorEastAsia"/>
        </w:rPr>
        <w:t>.</w:t>
      </w:r>
    </w:p>
    <w:p w14:paraId="17E20F3D" w14:textId="0FE100BD" w:rsidR="0055670C" w:rsidRPr="00EF6EDF" w:rsidRDefault="0055670C" w:rsidP="0055670C">
      <w:pPr>
        <w:pStyle w:val="Paragraphedeliste"/>
        <w:numPr>
          <w:ilvl w:val="0"/>
          <w:numId w:val="1"/>
        </w:numPr>
      </w:pPr>
      <w:r>
        <w:t xml:space="preserve">Bruit : </w:t>
      </w:r>
      <m:oMath>
        <m:r>
          <w:rPr>
            <w:rFonts w:ascii="Cambria Math" w:hAnsi="Cambria Math"/>
          </w:rPr>
          <m:t>N=</m:t>
        </m:r>
        <m:f>
          <m:fPr>
            <m:ctrlPr>
              <w:rPr>
                <w:rFonts w:ascii="Cambria Math" w:hAnsi="Cambria Math"/>
                <w:i/>
              </w:rPr>
            </m:ctrlPr>
          </m:fPr>
          <m:num>
            <m:r>
              <w:rPr>
                <w:rFonts w:ascii="Cambria Math" w:hAnsi="Cambria Math"/>
              </w:rPr>
              <m:t>σ</m:t>
            </m:r>
          </m:num>
          <m:den>
            <m:acc>
              <m:accPr>
                <m:chr m:val="̅"/>
                <m:ctrlPr>
                  <w:rPr>
                    <w:rFonts w:ascii="Cambria Math" w:hAnsi="Cambria Math"/>
                    <w:i/>
                  </w:rPr>
                </m:ctrlPr>
              </m:accPr>
              <m:e>
                <m:r>
                  <w:rPr>
                    <w:rFonts w:ascii="Cambria Math" w:hAnsi="Cambria Math"/>
                  </w:rPr>
                  <m:t>M</m:t>
                </m:r>
              </m:e>
            </m:acc>
          </m:den>
        </m:f>
        <m:r>
          <w:rPr>
            <w:rFonts w:ascii="Cambria Math" w:hAnsi="Cambria Math"/>
          </w:rPr>
          <m:t>*100</m:t>
        </m:r>
      </m:oMath>
      <w:r>
        <w:t xml:space="preserve"> </w:t>
      </w:r>
      <w:r w:rsidR="00EF6EDF">
        <w:t xml:space="preserve">avec </w:t>
      </w:r>
      <m:oMath>
        <m: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Σ</m:t>
                        </m:r>
                      </m:e>
                      <m:sub>
                        <m:r>
                          <w:rPr>
                            <w:rFonts w:ascii="Cambria Math" w:hAnsi="Cambria Math"/>
                          </w:rPr>
                          <m:t>i=1</m:t>
                        </m:r>
                      </m:sub>
                      <m:sup>
                        <m:r>
                          <w:rPr>
                            <w:rFonts w:ascii="Cambria Math" w:hAnsi="Cambria Math"/>
                          </w:rPr>
                          <m:t>n</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M</m:t>
                                </m:r>
                              </m:e>
                            </m:acc>
                          </m:e>
                        </m:d>
                      </m:e>
                      <m:sup>
                        <m:r>
                          <w:rPr>
                            <w:rFonts w:ascii="Cambria Math" w:hAnsi="Cambria Math"/>
                          </w:rPr>
                          <m:t>2</m:t>
                        </m:r>
                      </m:sup>
                    </m:sSup>
                  </m:num>
                  <m:den>
                    <m:r>
                      <w:rPr>
                        <w:rFonts w:ascii="Cambria Math" w:hAnsi="Cambria Math"/>
                      </w:rPr>
                      <m:t>n-1</m:t>
                    </m:r>
                  </m:den>
                </m:f>
              </m:e>
            </m:d>
          </m:e>
          <m:sup>
            <m:r>
              <w:rPr>
                <w:rFonts w:ascii="Cambria Math" w:hAnsi="Cambria Math"/>
              </w:rPr>
              <m:t>1/2</m:t>
            </m:r>
          </m:sup>
        </m:sSup>
      </m:oMath>
      <w:r w:rsidR="00EF6EDF">
        <w:rPr>
          <w:rFonts w:eastAsiaTheme="minorEastAsia"/>
        </w:rPr>
        <w:t xml:space="preserve"> et n le nbre de pixels de la RI</w:t>
      </w:r>
    </w:p>
    <w:p w14:paraId="7010BA17" w14:textId="4FE5BC7F" w:rsidR="00EF6EDF" w:rsidRPr="00617F5F" w:rsidRDefault="00EF6EDF" w:rsidP="0055670C">
      <w:pPr>
        <w:pStyle w:val="Paragraphedeliste"/>
        <w:numPr>
          <w:ilvl w:val="0"/>
          <w:numId w:val="1"/>
        </w:numPr>
      </w:pPr>
      <w:r>
        <w:rPr>
          <w:rFonts w:eastAsiaTheme="minorEastAsia"/>
        </w:rPr>
        <w:t xml:space="preserve">Homogénéité d’une image : </w:t>
      </w:r>
      <m:oMath>
        <m:r>
          <w:rPr>
            <w:rFonts w:ascii="Cambria Math" w:eastAsiaTheme="minorEastAsia" w:hAnsi="Cambria Math"/>
          </w:rPr>
          <m:t>Variation d'homogénéité=</m:t>
        </m:r>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min</m:t>
                </m:r>
              </m:sub>
            </m:sSub>
          </m:num>
          <m:den>
            <m:r>
              <w:rPr>
                <w:rFonts w:ascii="Cambria Math" w:eastAsiaTheme="minorEastAsia" w:hAnsi="Cambria Math"/>
              </w:rPr>
              <m:t>2</m:t>
            </m:r>
          </m:den>
        </m:f>
      </m:oMath>
      <w:r w:rsidR="00617F5F">
        <w:rPr>
          <w:rFonts w:eastAsiaTheme="minorEastAsia"/>
        </w:rPr>
        <w:t>, sachant que la courbe d’homogénéité est déterminée en mesuran</w:t>
      </w:r>
      <w:r w:rsidR="009853C5">
        <w:rPr>
          <w:rFonts w:eastAsiaTheme="minorEastAsia"/>
        </w:rPr>
        <w:t>t</w:t>
      </w:r>
      <w:r w:rsidR="00617F5F">
        <w:rPr>
          <w:rFonts w:eastAsiaTheme="minorEastAsia"/>
        </w:rPr>
        <w:t xml:space="preserve"> les valeurs moyennes des pixels sur des RI d’environ 10x10 pixels sur toute l’image acquise en absence de tout milieu diffusant interposé entre la source de rayonnement et le détecteur.  </w:t>
      </w:r>
      <m:oMath>
        <m:acc>
          <m:accPr>
            <m:chr m:val="̅"/>
            <m:ctrlPr>
              <w:rPr>
                <w:rFonts w:ascii="Cambria Math" w:eastAsiaTheme="minorEastAsia" w:hAnsi="Cambria Math"/>
                <w:i/>
              </w:rPr>
            </m:ctrlPr>
          </m:accPr>
          <m:e>
            <m:r>
              <w:rPr>
                <w:rFonts w:ascii="Cambria Math" w:eastAsiaTheme="minorEastAsia" w:hAnsi="Cambria Math"/>
              </w:rPr>
              <m:t>M</m:t>
            </m:r>
            <m:ctrlPr>
              <w:rPr>
                <w:rFonts w:ascii="Cambria Math" w:hAnsi="Cambria Math"/>
                <w:i/>
              </w:rPr>
            </m:ctrlPr>
          </m:e>
        </m:acc>
      </m:oMath>
      <w:r w:rsidR="00617F5F">
        <w:rPr>
          <w:rFonts w:eastAsiaTheme="minorEastAsia"/>
        </w:rPr>
        <w:t xml:space="preserve"> </w:t>
      </w:r>
      <w:proofErr w:type="gramStart"/>
      <w:r w:rsidR="00617F5F">
        <w:rPr>
          <w:rFonts w:eastAsiaTheme="minorEastAsia"/>
        </w:rPr>
        <w:t>est</w:t>
      </w:r>
      <w:proofErr w:type="gramEnd"/>
      <w:r w:rsidR="00617F5F">
        <w:rPr>
          <w:rFonts w:eastAsiaTheme="minorEastAsia"/>
        </w:rPr>
        <w:t xml:space="preserve"> exprimé en pourcentage de la valeur moyenne des pixels d’une RI au centre de l’image.</w:t>
      </w:r>
    </w:p>
    <w:p w14:paraId="01961004" w14:textId="24737BF8" w:rsidR="00617F5F" w:rsidRDefault="00617F5F" w:rsidP="00617F5F"/>
    <w:p w14:paraId="7D679A5A" w14:textId="77777777" w:rsidR="0050392D" w:rsidRDefault="0050392D" w:rsidP="00617F5F"/>
    <w:tbl>
      <w:tblPr>
        <w:tblStyle w:val="Grilledutableau"/>
        <w:tblW w:w="0" w:type="auto"/>
        <w:tblLook w:val="04A0" w:firstRow="1" w:lastRow="0" w:firstColumn="1" w:lastColumn="0" w:noHBand="0" w:noVBand="1"/>
      </w:tblPr>
      <w:tblGrid>
        <w:gridCol w:w="2547"/>
        <w:gridCol w:w="7796"/>
      </w:tblGrid>
      <w:tr w:rsidR="00617F5F" w14:paraId="130831DC" w14:textId="77777777" w:rsidTr="00E95AA7">
        <w:tc>
          <w:tcPr>
            <w:tcW w:w="10343" w:type="dxa"/>
            <w:gridSpan w:val="2"/>
          </w:tcPr>
          <w:p w14:paraId="0424CE3A" w14:textId="3C1F478C" w:rsidR="00617F5F" w:rsidRPr="003B3A54" w:rsidRDefault="00617F5F" w:rsidP="00617F5F">
            <w:pPr>
              <w:jc w:val="center"/>
              <w:rPr>
                <w:b/>
                <w:bCs/>
              </w:rPr>
            </w:pPr>
            <w:r w:rsidRPr="003B3A54">
              <w:rPr>
                <w:b/>
                <w:bCs/>
              </w:rPr>
              <w:lastRenderedPageBreak/>
              <w:t>5.1 Systèmes de sécurité</w:t>
            </w:r>
          </w:p>
        </w:tc>
      </w:tr>
      <w:tr w:rsidR="003B3A54" w14:paraId="7D024DC6" w14:textId="77777777" w:rsidTr="00E95AA7">
        <w:tc>
          <w:tcPr>
            <w:tcW w:w="10343" w:type="dxa"/>
            <w:gridSpan w:val="2"/>
          </w:tcPr>
          <w:p w14:paraId="784EAAFB" w14:textId="3D717AE0" w:rsidR="003B3A54" w:rsidRDefault="003B3A54" w:rsidP="00617F5F">
            <w:pPr>
              <w:jc w:val="center"/>
            </w:pPr>
            <w:r>
              <w:t>5.1.1 Indicateurs relatifs à la présence du faisceau</w:t>
            </w:r>
          </w:p>
        </w:tc>
      </w:tr>
      <w:tr w:rsidR="00617F5F" w14:paraId="75E368D0" w14:textId="77777777" w:rsidTr="00E95AA7">
        <w:tc>
          <w:tcPr>
            <w:tcW w:w="2547" w:type="dxa"/>
          </w:tcPr>
          <w:p w14:paraId="3C6D6D89" w14:textId="62F0C4CD" w:rsidR="00617F5F" w:rsidRDefault="00617F5F" w:rsidP="00617F5F">
            <w:r>
              <w:t>Périodicité</w:t>
            </w:r>
          </w:p>
        </w:tc>
        <w:tc>
          <w:tcPr>
            <w:tcW w:w="7796" w:type="dxa"/>
          </w:tcPr>
          <w:p w14:paraId="08EA11FB" w14:textId="5BED1780" w:rsidR="00617F5F" w:rsidRDefault="003B3A54" w:rsidP="00617F5F">
            <w:r>
              <w:t>- Quotidienne pour les indicateurs relatifs à la présence du Fx au poste de commande et signalisation lumineuse de l’état de Fx située au-dessus de la porte d’accès</w:t>
            </w:r>
          </w:p>
          <w:p w14:paraId="4D0FE57A" w14:textId="44A60687" w:rsidR="003B3A54" w:rsidRDefault="003B3A54" w:rsidP="00617F5F">
            <w:r>
              <w:t>- Mensuelle pour la signalisation lumineuse de l’état du Fx située dans la salle de traitement</w:t>
            </w:r>
          </w:p>
        </w:tc>
      </w:tr>
      <w:tr w:rsidR="00617F5F" w14:paraId="6C8A4DDE" w14:textId="77777777" w:rsidTr="00E95AA7">
        <w:tc>
          <w:tcPr>
            <w:tcW w:w="2547" w:type="dxa"/>
          </w:tcPr>
          <w:p w14:paraId="3038D831" w14:textId="0A068D23" w:rsidR="00617F5F" w:rsidRDefault="00617F5F" w:rsidP="00617F5F">
            <w:r>
              <w:t>Mode opératoire</w:t>
            </w:r>
          </w:p>
        </w:tc>
        <w:tc>
          <w:tcPr>
            <w:tcW w:w="7796" w:type="dxa"/>
          </w:tcPr>
          <w:p w14:paraId="0FCAA78C" w14:textId="30553D6A" w:rsidR="00617F5F" w:rsidRDefault="003B3A54" w:rsidP="00617F5F">
            <w:r>
              <w:t>/</w:t>
            </w:r>
          </w:p>
        </w:tc>
      </w:tr>
      <w:tr w:rsidR="00617F5F" w14:paraId="3BF51B21" w14:textId="77777777" w:rsidTr="00E95AA7">
        <w:tc>
          <w:tcPr>
            <w:tcW w:w="2547" w:type="dxa"/>
          </w:tcPr>
          <w:p w14:paraId="10DA3DB4" w14:textId="1335D64A" w:rsidR="00617F5F" w:rsidRDefault="003B3A54" w:rsidP="00617F5F">
            <w:r>
              <w:t>Critères d’acceptabilité</w:t>
            </w:r>
          </w:p>
        </w:tc>
        <w:tc>
          <w:tcPr>
            <w:tcW w:w="7796" w:type="dxa"/>
          </w:tcPr>
          <w:p w14:paraId="1F7DE634" w14:textId="23ADA895" w:rsidR="00617F5F" w:rsidRDefault="003B3A54" w:rsidP="00617F5F">
            <w:r>
              <w:t>Tous les indicateurs doivent impérativement fonctionner</w:t>
            </w:r>
          </w:p>
        </w:tc>
      </w:tr>
      <w:tr w:rsidR="003B3A54" w14:paraId="22E88502" w14:textId="77777777" w:rsidTr="00E95AA7">
        <w:tc>
          <w:tcPr>
            <w:tcW w:w="10343" w:type="dxa"/>
            <w:gridSpan w:val="2"/>
          </w:tcPr>
          <w:p w14:paraId="614B5AD5" w14:textId="5ED240BD" w:rsidR="003B3A54" w:rsidRDefault="003B3A54" w:rsidP="003B3A54">
            <w:pPr>
              <w:jc w:val="center"/>
            </w:pPr>
            <w:r>
              <w:t>5.1.2 Dispositifs d’arrêt d’urgence</w:t>
            </w:r>
          </w:p>
        </w:tc>
      </w:tr>
      <w:tr w:rsidR="003B3A54" w14:paraId="45C0F886" w14:textId="77777777" w:rsidTr="00E95AA7">
        <w:tc>
          <w:tcPr>
            <w:tcW w:w="2547" w:type="dxa"/>
          </w:tcPr>
          <w:p w14:paraId="27C9D5D5" w14:textId="69C2D311" w:rsidR="003B3A54" w:rsidRDefault="003B3A54" w:rsidP="00617F5F">
            <w:r>
              <w:t>Périodicité</w:t>
            </w:r>
          </w:p>
        </w:tc>
        <w:tc>
          <w:tcPr>
            <w:tcW w:w="7796" w:type="dxa"/>
          </w:tcPr>
          <w:p w14:paraId="051D07CD" w14:textId="74AED467" w:rsidR="003B3A54" w:rsidRDefault="005B2F14" w:rsidP="00617F5F">
            <w:r>
              <w:t>Mensuelle, chaque contrôle portant sur un dispositif d’arrêt d’urgence différent</w:t>
            </w:r>
          </w:p>
        </w:tc>
      </w:tr>
      <w:tr w:rsidR="003B3A54" w14:paraId="60AFAC73" w14:textId="77777777" w:rsidTr="00E95AA7">
        <w:tc>
          <w:tcPr>
            <w:tcW w:w="2547" w:type="dxa"/>
          </w:tcPr>
          <w:p w14:paraId="5CD31AC4" w14:textId="3EA3B29B" w:rsidR="003B3A54" w:rsidRDefault="003B3A54" w:rsidP="00617F5F">
            <w:r>
              <w:t>Mode opératoire</w:t>
            </w:r>
          </w:p>
        </w:tc>
        <w:tc>
          <w:tcPr>
            <w:tcW w:w="7796" w:type="dxa"/>
          </w:tcPr>
          <w:p w14:paraId="29B6B0F7" w14:textId="293D1C82" w:rsidR="003B3A54" w:rsidRDefault="005B2F14" w:rsidP="00617F5F">
            <w:r>
              <w:t>/</w:t>
            </w:r>
          </w:p>
        </w:tc>
      </w:tr>
      <w:tr w:rsidR="003B3A54" w14:paraId="6AB628C2" w14:textId="77777777" w:rsidTr="00E95AA7">
        <w:tc>
          <w:tcPr>
            <w:tcW w:w="2547" w:type="dxa"/>
          </w:tcPr>
          <w:p w14:paraId="5B3B49E8" w14:textId="401ACAC0" w:rsidR="003B3A54" w:rsidRDefault="003B3A54" w:rsidP="00617F5F">
            <w:r>
              <w:t>Critères d’acceptabilité</w:t>
            </w:r>
          </w:p>
        </w:tc>
        <w:tc>
          <w:tcPr>
            <w:tcW w:w="7796" w:type="dxa"/>
          </w:tcPr>
          <w:p w14:paraId="0C8F261F" w14:textId="2320E3EF" w:rsidR="003B3A54" w:rsidRDefault="005B2F14" w:rsidP="00617F5F">
            <w:r>
              <w:t>Machine éteinte, le dispositif d’arrêt d’urgence enclenché, il doit impérativement être impossible de redémarrer l’installation</w:t>
            </w:r>
          </w:p>
        </w:tc>
      </w:tr>
      <w:tr w:rsidR="00153F3C" w14:paraId="1C870699" w14:textId="77777777" w:rsidTr="00E95AA7">
        <w:tc>
          <w:tcPr>
            <w:tcW w:w="10343" w:type="dxa"/>
            <w:gridSpan w:val="2"/>
          </w:tcPr>
          <w:p w14:paraId="7AD37045" w14:textId="3DA0FD53" w:rsidR="00153F3C" w:rsidRDefault="00153F3C" w:rsidP="00153F3C">
            <w:pPr>
              <w:jc w:val="center"/>
            </w:pPr>
            <w:r>
              <w:t xml:space="preserve">5 .1.3 Systèmes </w:t>
            </w:r>
            <w:proofErr w:type="spellStart"/>
            <w:r>
              <w:t>anti-collision</w:t>
            </w:r>
            <w:proofErr w:type="spellEnd"/>
          </w:p>
        </w:tc>
      </w:tr>
      <w:tr w:rsidR="003B3A54" w14:paraId="1C07140C" w14:textId="77777777" w:rsidTr="00E95AA7">
        <w:tc>
          <w:tcPr>
            <w:tcW w:w="2547" w:type="dxa"/>
          </w:tcPr>
          <w:p w14:paraId="73BDAA17" w14:textId="4ADF2ED2" w:rsidR="003B3A54" w:rsidRDefault="00153F3C" w:rsidP="00617F5F">
            <w:r>
              <w:t>Périodicité</w:t>
            </w:r>
          </w:p>
        </w:tc>
        <w:tc>
          <w:tcPr>
            <w:tcW w:w="7796" w:type="dxa"/>
          </w:tcPr>
          <w:p w14:paraId="4E332B0B" w14:textId="1D6AD51C" w:rsidR="003B3A54" w:rsidRDefault="00153F3C" w:rsidP="00617F5F">
            <w:r>
              <w:t>Quotidienne</w:t>
            </w:r>
          </w:p>
        </w:tc>
      </w:tr>
      <w:tr w:rsidR="003B3A54" w14:paraId="18FCC8D9" w14:textId="77777777" w:rsidTr="00E95AA7">
        <w:tc>
          <w:tcPr>
            <w:tcW w:w="2547" w:type="dxa"/>
          </w:tcPr>
          <w:p w14:paraId="42C34CB0" w14:textId="796C83AC" w:rsidR="003B3A54" w:rsidRDefault="00153F3C" w:rsidP="00617F5F">
            <w:r>
              <w:t>Critères d’acceptabilité</w:t>
            </w:r>
          </w:p>
        </w:tc>
        <w:tc>
          <w:tcPr>
            <w:tcW w:w="7796" w:type="dxa"/>
          </w:tcPr>
          <w:p w14:paraId="5961D387" w14:textId="72A9BB57" w:rsidR="003B3A54" w:rsidRDefault="00153F3C" w:rsidP="00617F5F">
            <w:r>
              <w:t xml:space="preserve">Pour les installations disposant de systèmes </w:t>
            </w:r>
            <w:proofErr w:type="spellStart"/>
            <w:r>
              <w:t>anti-collision</w:t>
            </w:r>
            <w:proofErr w:type="spellEnd"/>
            <w:r>
              <w:t>, toute collision simulée doit impérativement arrêter les mouvements du dispositif</w:t>
            </w:r>
          </w:p>
        </w:tc>
      </w:tr>
      <w:tr w:rsidR="00A506A8" w14:paraId="50CED259" w14:textId="77777777" w:rsidTr="00E95AA7">
        <w:tc>
          <w:tcPr>
            <w:tcW w:w="10343" w:type="dxa"/>
            <w:gridSpan w:val="2"/>
          </w:tcPr>
          <w:p w14:paraId="5E612B81" w14:textId="529B223B" w:rsidR="00A506A8" w:rsidRDefault="00A506A8" w:rsidP="00A506A8">
            <w:pPr>
              <w:jc w:val="center"/>
            </w:pPr>
            <w:r>
              <w:t>5.1.4 Dispositifs de commande de l’appareil de traitement et de la table de traitement</w:t>
            </w:r>
          </w:p>
        </w:tc>
      </w:tr>
      <w:tr w:rsidR="003B3A54" w14:paraId="77101881" w14:textId="77777777" w:rsidTr="00E95AA7">
        <w:tc>
          <w:tcPr>
            <w:tcW w:w="2547" w:type="dxa"/>
          </w:tcPr>
          <w:p w14:paraId="597D88D2" w14:textId="4C7BB940" w:rsidR="003B3A54" w:rsidRDefault="00A506A8" w:rsidP="00617F5F">
            <w:r>
              <w:t>Périodicité</w:t>
            </w:r>
          </w:p>
        </w:tc>
        <w:tc>
          <w:tcPr>
            <w:tcW w:w="7796" w:type="dxa"/>
          </w:tcPr>
          <w:p w14:paraId="3FF6B87B" w14:textId="28044290" w:rsidR="003B3A54" w:rsidRDefault="00A506A8" w:rsidP="00617F5F">
            <w:r>
              <w:t>Quotidienne</w:t>
            </w:r>
          </w:p>
        </w:tc>
      </w:tr>
      <w:tr w:rsidR="003B3A54" w14:paraId="060E08A7" w14:textId="77777777" w:rsidTr="00E95AA7">
        <w:tc>
          <w:tcPr>
            <w:tcW w:w="2547" w:type="dxa"/>
          </w:tcPr>
          <w:p w14:paraId="53D2F7C1" w14:textId="4000EE64" w:rsidR="003B3A54" w:rsidRDefault="00A506A8" w:rsidP="00617F5F">
            <w:r>
              <w:t>Critères d’acceptabilité</w:t>
            </w:r>
          </w:p>
        </w:tc>
        <w:tc>
          <w:tcPr>
            <w:tcW w:w="7796" w:type="dxa"/>
          </w:tcPr>
          <w:p w14:paraId="5F777D47" w14:textId="2CE8A44C" w:rsidR="003B3A54" w:rsidRDefault="00A506A8" w:rsidP="00617F5F">
            <w:r>
              <w:t xml:space="preserve">Sauf en RT cinétique, il ne doit pas être possible de programmer les mouvements de rotation du bras ou de la table sans </w:t>
            </w:r>
            <w:r w:rsidR="003265D0">
              <w:t>actionner deux interrupteurs de sécurité simultanément</w:t>
            </w:r>
          </w:p>
        </w:tc>
      </w:tr>
      <w:tr w:rsidR="003265D0" w14:paraId="2BF86229" w14:textId="77777777" w:rsidTr="00E95AA7">
        <w:tc>
          <w:tcPr>
            <w:tcW w:w="10343" w:type="dxa"/>
            <w:gridSpan w:val="2"/>
          </w:tcPr>
          <w:p w14:paraId="7900BA4F" w14:textId="61B661C4" w:rsidR="003265D0" w:rsidRDefault="003265D0" w:rsidP="003265D0">
            <w:pPr>
              <w:jc w:val="center"/>
            </w:pPr>
            <w:r>
              <w:t>5.1.5 Accessoires hors contention : filtres en coin, applicateurs utilisés pour les faisceaux d’électrons, porte-accessoires</w:t>
            </w:r>
          </w:p>
        </w:tc>
      </w:tr>
      <w:tr w:rsidR="003B3A54" w14:paraId="4025C112" w14:textId="77777777" w:rsidTr="00E95AA7">
        <w:tc>
          <w:tcPr>
            <w:tcW w:w="2547" w:type="dxa"/>
          </w:tcPr>
          <w:p w14:paraId="3812B8BF" w14:textId="32B6F67D" w:rsidR="003B3A54" w:rsidRDefault="003265D0" w:rsidP="00617F5F">
            <w:r>
              <w:t>Périodicité</w:t>
            </w:r>
          </w:p>
        </w:tc>
        <w:tc>
          <w:tcPr>
            <w:tcW w:w="7796" w:type="dxa"/>
          </w:tcPr>
          <w:p w14:paraId="41464730" w14:textId="348711DD" w:rsidR="003B3A54" w:rsidRDefault="003265D0" w:rsidP="00617F5F">
            <w:r>
              <w:t>Mensuelle</w:t>
            </w:r>
          </w:p>
        </w:tc>
      </w:tr>
      <w:tr w:rsidR="003B3A54" w14:paraId="3B357A63" w14:textId="77777777" w:rsidTr="00E95AA7">
        <w:tc>
          <w:tcPr>
            <w:tcW w:w="2547" w:type="dxa"/>
          </w:tcPr>
          <w:p w14:paraId="20853E90" w14:textId="00D5F8EB" w:rsidR="003B3A54" w:rsidRDefault="003265D0" w:rsidP="00617F5F">
            <w:r>
              <w:t>Modalités du contrôle</w:t>
            </w:r>
          </w:p>
        </w:tc>
        <w:tc>
          <w:tcPr>
            <w:tcW w:w="7796" w:type="dxa"/>
          </w:tcPr>
          <w:p w14:paraId="32BDECE2" w14:textId="1FB685B0" w:rsidR="003B3A54" w:rsidRDefault="003265D0" w:rsidP="00617F5F">
            <w:r>
              <w:t xml:space="preserve">Contrôles visuel et manuel des fixations et des caractéristiques mécaniques des filtres en coin, des applicateurs utilisés pour les Fx </w:t>
            </w:r>
            <w:r w:rsidR="00A02171">
              <w:t>d’électrons et des porte-accessoire</w:t>
            </w:r>
          </w:p>
        </w:tc>
      </w:tr>
      <w:tr w:rsidR="003B3A54" w14:paraId="7822F823" w14:textId="77777777" w:rsidTr="00E95AA7">
        <w:tc>
          <w:tcPr>
            <w:tcW w:w="2547" w:type="dxa"/>
          </w:tcPr>
          <w:p w14:paraId="74F753A7" w14:textId="1387D15A" w:rsidR="003B3A54" w:rsidRDefault="00A02171" w:rsidP="00617F5F">
            <w:r>
              <w:t>Critères d’acceptabilité</w:t>
            </w:r>
          </w:p>
        </w:tc>
        <w:tc>
          <w:tcPr>
            <w:tcW w:w="7796" w:type="dxa"/>
          </w:tcPr>
          <w:p w14:paraId="4F512C72" w14:textId="570BABB8" w:rsidR="003B3A54" w:rsidRDefault="00A02171" w:rsidP="00617F5F">
            <w:r>
              <w:t>Pas de désinsertion possible des accessoires</w:t>
            </w:r>
            <w:r>
              <w:br/>
              <w:t>Pas de déformation physique des accessoires pouvant altérer leurs performances</w:t>
            </w:r>
            <w:r>
              <w:br/>
              <w:t>Si la remise en conformité est impossible, les accessoires défectueux ne doivent plus être utilisés et doivent être remplacés</w:t>
            </w:r>
          </w:p>
        </w:tc>
      </w:tr>
      <w:tr w:rsidR="00A02171" w14:paraId="2801B0AC" w14:textId="77777777" w:rsidTr="00E95AA7">
        <w:tc>
          <w:tcPr>
            <w:tcW w:w="10343" w:type="dxa"/>
            <w:gridSpan w:val="2"/>
          </w:tcPr>
          <w:p w14:paraId="26F88B38" w14:textId="7EE1B0F8" w:rsidR="00A02171" w:rsidRDefault="00A02171" w:rsidP="00A02171">
            <w:pPr>
              <w:jc w:val="center"/>
            </w:pPr>
            <w:r>
              <w:t>5.1.6 Systèmes de surveillance du patient</w:t>
            </w:r>
          </w:p>
        </w:tc>
      </w:tr>
      <w:tr w:rsidR="003B3A54" w14:paraId="7503D760" w14:textId="77777777" w:rsidTr="00E95AA7">
        <w:tc>
          <w:tcPr>
            <w:tcW w:w="2547" w:type="dxa"/>
          </w:tcPr>
          <w:p w14:paraId="01959F0E" w14:textId="6C65E79B" w:rsidR="003B3A54" w:rsidRDefault="00A02171" w:rsidP="00617F5F">
            <w:r>
              <w:t>Périodicité</w:t>
            </w:r>
          </w:p>
        </w:tc>
        <w:tc>
          <w:tcPr>
            <w:tcW w:w="7796" w:type="dxa"/>
          </w:tcPr>
          <w:p w14:paraId="64037DF4" w14:textId="231869E1" w:rsidR="003B3A54" w:rsidRDefault="00A02171" w:rsidP="00617F5F">
            <w:r>
              <w:t>Quotidienne</w:t>
            </w:r>
          </w:p>
        </w:tc>
      </w:tr>
      <w:tr w:rsidR="003B3A54" w14:paraId="2436A586" w14:textId="77777777" w:rsidTr="00E95AA7">
        <w:tc>
          <w:tcPr>
            <w:tcW w:w="2547" w:type="dxa"/>
          </w:tcPr>
          <w:p w14:paraId="44007DA9" w14:textId="67A1D762" w:rsidR="003B3A54" w:rsidRDefault="00A02171" w:rsidP="00617F5F">
            <w:r>
              <w:t>Critères d’acceptabilité</w:t>
            </w:r>
          </w:p>
        </w:tc>
        <w:tc>
          <w:tcPr>
            <w:tcW w:w="7796" w:type="dxa"/>
          </w:tcPr>
          <w:p w14:paraId="61E1884C" w14:textId="16D273FF" w:rsidR="003B3A54" w:rsidRDefault="00A02171" w:rsidP="00617F5F">
            <w:r>
              <w:t>Les systèmes de surveillance visuelle et auditive du patient doivent impérativement fonctionner correctement</w:t>
            </w:r>
          </w:p>
        </w:tc>
      </w:tr>
    </w:tbl>
    <w:p w14:paraId="12B55308" w14:textId="4489CF6F" w:rsidR="00617F5F" w:rsidRDefault="00617F5F" w:rsidP="00617F5F"/>
    <w:tbl>
      <w:tblPr>
        <w:tblStyle w:val="Grilledutableau"/>
        <w:tblW w:w="0" w:type="auto"/>
        <w:tblLook w:val="04A0" w:firstRow="1" w:lastRow="0" w:firstColumn="1" w:lastColumn="0" w:noHBand="0" w:noVBand="1"/>
      </w:tblPr>
      <w:tblGrid>
        <w:gridCol w:w="2547"/>
        <w:gridCol w:w="7796"/>
      </w:tblGrid>
      <w:tr w:rsidR="00A02171" w14:paraId="6B3AEFAA" w14:textId="77777777" w:rsidTr="00E95AA7">
        <w:tc>
          <w:tcPr>
            <w:tcW w:w="10343" w:type="dxa"/>
            <w:gridSpan w:val="2"/>
          </w:tcPr>
          <w:p w14:paraId="4D059BE8" w14:textId="32C20209" w:rsidR="00A02171" w:rsidRPr="00A02171" w:rsidRDefault="00A02171" w:rsidP="00A02171">
            <w:pPr>
              <w:jc w:val="center"/>
              <w:rPr>
                <w:b/>
                <w:bCs/>
              </w:rPr>
            </w:pPr>
            <w:r>
              <w:rPr>
                <w:b/>
                <w:bCs/>
              </w:rPr>
              <w:t>5.2 Caractéristiques mécaniques des accélérateurs</w:t>
            </w:r>
          </w:p>
        </w:tc>
      </w:tr>
      <w:tr w:rsidR="00A02171" w14:paraId="4C43BC19" w14:textId="77777777" w:rsidTr="00E95AA7">
        <w:tc>
          <w:tcPr>
            <w:tcW w:w="10343" w:type="dxa"/>
            <w:gridSpan w:val="2"/>
          </w:tcPr>
          <w:p w14:paraId="32A3AD7F" w14:textId="63526E71" w:rsidR="00A02171" w:rsidRDefault="00A02171" w:rsidP="00A02171">
            <w:pPr>
              <w:jc w:val="center"/>
            </w:pPr>
            <w:r>
              <w:t>5.2.1 Correspondance de l’axe mécanique du collimateur principal avec l’axe du Fx</w:t>
            </w:r>
          </w:p>
        </w:tc>
      </w:tr>
      <w:tr w:rsidR="00A02171" w14:paraId="4319E586" w14:textId="77777777" w:rsidTr="00E95AA7">
        <w:tc>
          <w:tcPr>
            <w:tcW w:w="2547" w:type="dxa"/>
          </w:tcPr>
          <w:p w14:paraId="5D93F88D" w14:textId="761DC7BA" w:rsidR="00A02171" w:rsidRDefault="00A02171" w:rsidP="00617F5F">
            <w:r>
              <w:t>Périodicité</w:t>
            </w:r>
          </w:p>
        </w:tc>
        <w:tc>
          <w:tcPr>
            <w:tcW w:w="7796" w:type="dxa"/>
          </w:tcPr>
          <w:p w14:paraId="10B32187" w14:textId="3B15432D" w:rsidR="00A02171" w:rsidRDefault="00A02171" w:rsidP="00617F5F">
            <w:r>
              <w:t>Mensuelle</w:t>
            </w:r>
          </w:p>
        </w:tc>
      </w:tr>
      <w:tr w:rsidR="00A02171" w14:paraId="3874ACFA" w14:textId="77777777" w:rsidTr="00E95AA7">
        <w:tc>
          <w:tcPr>
            <w:tcW w:w="2547" w:type="dxa"/>
          </w:tcPr>
          <w:p w14:paraId="53872955" w14:textId="643961B2" w:rsidR="00A02171" w:rsidRDefault="00A02171" w:rsidP="00617F5F">
            <w:r>
              <w:t>Critères d’acceptabilité</w:t>
            </w:r>
          </w:p>
        </w:tc>
        <w:tc>
          <w:tcPr>
            <w:tcW w:w="7796" w:type="dxa"/>
          </w:tcPr>
          <w:p w14:paraId="39EE88BE" w14:textId="77777777" w:rsidR="00A02171" w:rsidRDefault="00B87888" w:rsidP="00617F5F">
            <w:r>
              <w:t>Axe de rotation du collimateur doit être vertical</w:t>
            </w:r>
          </w:p>
          <w:p w14:paraId="0349920D" w14:textId="0CEF760C" w:rsidR="00B87888" w:rsidRPr="00B87888" w:rsidRDefault="00B87888" w:rsidP="00B87888">
            <w:pPr>
              <w:tabs>
                <w:tab w:val="left" w:pos="6151"/>
              </w:tabs>
            </w:pPr>
            <w:r>
              <w:t xml:space="preserve">La projection du centreur (réticule ou pige calibrée) à la distance normale de traitement (DNT) et à DNT + 20 cm doit rester, quel que soit l’angle </w:t>
            </w:r>
            <w:proofErr w:type="spellStart"/>
            <w:r>
              <w:t>l’angle</w:t>
            </w:r>
            <w:proofErr w:type="spellEnd"/>
            <w:r>
              <w:t xml:space="preserve"> du collimateur, dans un cercle de diamètre </w:t>
            </w:r>
            <m:oMath>
              <m:r>
                <w:rPr>
                  <w:rFonts w:ascii="Cambria Math" w:hAnsi="Cambria Math"/>
                </w:rPr>
                <m:t>≤</m:t>
              </m:r>
            </m:oMath>
            <w:r>
              <w:rPr>
                <w:rFonts w:eastAsiaTheme="minorEastAsia"/>
              </w:rPr>
              <w:t xml:space="preserve"> 2 mm dont le centre est situé à une distance </w:t>
            </w:r>
            <m:oMath>
              <m:r>
                <w:rPr>
                  <w:rFonts w:ascii="Cambria Math" w:eastAsiaTheme="minorEastAsia" w:hAnsi="Cambria Math"/>
                </w:rPr>
                <m:t>≤</m:t>
              </m:r>
            </m:oMath>
            <w:r>
              <w:rPr>
                <w:rFonts w:eastAsiaTheme="minorEastAsia"/>
              </w:rPr>
              <w:t xml:space="preserve"> 1 mm de l’axe vertical du collimateur.</w:t>
            </w:r>
          </w:p>
        </w:tc>
      </w:tr>
      <w:tr w:rsidR="00494D9D" w14:paraId="2DC68440" w14:textId="77777777" w:rsidTr="00E95AA7">
        <w:tc>
          <w:tcPr>
            <w:tcW w:w="10343" w:type="dxa"/>
            <w:gridSpan w:val="2"/>
          </w:tcPr>
          <w:p w14:paraId="3EC1D99F" w14:textId="1F5FCE13" w:rsidR="00494D9D" w:rsidRDefault="00494D9D" w:rsidP="00494D9D">
            <w:pPr>
              <w:jc w:val="center"/>
            </w:pPr>
            <w:r>
              <w:t>5.2.2 Centrage des collimateurs secondaires fixes ou amovibles avec l’axe de rotation du collimateur principal</w:t>
            </w:r>
          </w:p>
        </w:tc>
      </w:tr>
      <w:tr w:rsidR="00A02171" w14:paraId="7692FD11" w14:textId="77777777" w:rsidTr="00E95AA7">
        <w:tc>
          <w:tcPr>
            <w:tcW w:w="2547" w:type="dxa"/>
          </w:tcPr>
          <w:p w14:paraId="33CC5CC6" w14:textId="3635C2A6" w:rsidR="00A02171" w:rsidRDefault="00494D9D" w:rsidP="00617F5F">
            <w:r>
              <w:t>Périodicité</w:t>
            </w:r>
          </w:p>
        </w:tc>
        <w:tc>
          <w:tcPr>
            <w:tcW w:w="7796" w:type="dxa"/>
          </w:tcPr>
          <w:p w14:paraId="420FE362" w14:textId="3C75DDAA" w:rsidR="00A02171" w:rsidRDefault="00494D9D" w:rsidP="00617F5F">
            <w:r>
              <w:t>Mensuelle</w:t>
            </w:r>
          </w:p>
        </w:tc>
      </w:tr>
      <w:tr w:rsidR="00A02171" w14:paraId="14204C8F" w14:textId="77777777" w:rsidTr="00E95AA7">
        <w:tc>
          <w:tcPr>
            <w:tcW w:w="2547" w:type="dxa"/>
          </w:tcPr>
          <w:p w14:paraId="0003668C" w14:textId="6DA975DA" w:rsidR="00A02171" w:rsidRDefault="00494D9D" w:rsidP="00617F5F">
            <w:r>
              <w:t>Critères d’acceptabilité</w:t>
            </w:r>
          </w:p>
        </w:tc>
        <w:tc>
          <w:tcPr>
            <w:tcW w:w="7796" w:type="dxa"/>
          </w:tcPr>
          <w:p w14:paraId="1D81B598" w14:textId="4FA122FD" w:rsidR="00A02171" w:rsidRDefault="00494D9D" w:rsidP="00617F5F">
            <w:r>
              <w:t xml:space="preserve">Dans le plan de </w:t>
            </w:r>
            <w:proofErr w:type="spellStart"/>
            <w:r>
              <w:t>ref</w:t>
            </w:r>
            <w:proofErr w:type="spellEnd"/>
            <w:r>
              <w:t xml:space="preserve"> avec le collimateur à placer suivant 3 angles différents pertinents, l’axe du collimateur secondaire doit rester dans un cercle de diamètre </w:t>
            </w:r>
            <m:oMath>
              <m:r>
                <w:rPr>
                  <w:rFonts w:ascii="Cambria Math" w:hAnsi="Cambria Math"/>
                </w:rPr>
                <m:t>≤</m:t>
              </m:r>
            </m:oMath>
            <w:r>
              <w:rPr>
                <w:rFonts w:eastAsiaTheme="minorEastAsia"/>
              </w:rPr>
              <w:t xml:space="preserve"> 1 mm de l’axe vertical du collimateur principal contrôlé au point 5.2.1</w:t>
            </w:r>
          </w:p>
        </w:tc>
      </w:tr>
      <w:tr w:rsidR="00494D9D" w14:paraId="54F94490" w14:textId="77777777" w:rsidTr="00E95AA7">
        <w:tc>
          <w:tcPr>
            <w:tcW w:w="10343" w:type="dxa"/>
            <w:gridSpan w:val="2"/>
          </w:tcPr>
          <w:p w14:paraId="60F93F2B" w14:textId="375F0189" w:rsidR="00494D9D" w:rsidRDefault="00494D9D" w:rsidP="00494D9D">
            <w:pPr>
              <w:tabs>
                <w:tab w:val="left" w:pos="2595"/>
              </w:tabs>
              <w:jc w:val="center"/>
            </w:pPr>
            <w:r>
              <w:t>5.2.3 Détermination de l’isocentre</w:t>
            </w:r>
          </w:p>
        </w:tc>
      </w:tr>
      <w:tr w:rsidR="00494D9D" w14:paraId="36A0C41B" w14:textId="77777777" w:rsidTr="00E95AA7">
        <w:tc>
          <w:tcPr>
            <w:tcW w:w="2547" w:type="dxa"/>
          </w:tcPr>
          <w:p w14:paraId="1C0A83EF" w14:textId="154C53CF" w:rsidR="00494D9D" w:rsidRDefault="00494D9D" w:rsidP="00617F5F">
            <w:r>
              <w:t>Périodicité</w:t>
            </w:r>
          </w:p>
        </w:tc>
        <w:tc>
          <w:tcPr>
            <w:tcW w:w="7796" w:type="dxa"/>
          </w:tcPr>
          <w:p w14:paraId="5A7431A1" w14:textId="70154D99" w:rsidR="00494D9D" w:rsidRDefault="00494D9D" w:rsidP="00617F5F">
            <w:r>
              <w:t>Mensuelle</w:t>
            </w:r>
          </w:p>
        </w:tc>
      </w:tr>
      <w:tr w:rsidR="00494D9D" w14:paraId="2880F0CC" w14:textId="77777777" w:rsidTr="00E95AA7">
        <w:tc>
          <w:tcPr>
            <w:tcW w:w="2547" w:type="dxa"/>
          </w:tcPr>
          <w:p w14:paraId="2F754786" w14:textId="6A67012C" w:rsidR="00494D9D" w:rsidRDefault="00494D9D" w:rsidP="00617F5F">
            <w:r>
              <w:t>Critères d’acceptabilité</w:t>
            </w:r>
          </w:p>
        </w:tc>
        <w:tc>
          <w:tcPr>
            <w:tcW w:w="7796" w:type="dxa"/>
          </w:tcPr>
          <w:p w14:paraId="4145A969" w14:textId="551A9F02" w:rsidR="00494D9D" w:rsidRDefault="00494D9D" w:rsidP="00617F5F">
            <w:r>
              <w:t xml:space="preserve">Diamètre de l’enveloppe des variations de position de l’isocentre en fonction de la rotation du bras doit être </w:t>
            </w:r>
            <m:oMath>
              <m:r>
                <w:rPr>
                  <w:rFonts w:ascii="Cambria Math" w:hAnsi="Cambria Math"/>
                </w:rPr>
                <m:t>≤</m:t>
              </m:r>
            </m:oMath>
            <w:r>
              <w:rPr>
                <w:rFonts w:eastAsiaTheme="minorEastAsia"/>
              </w:rPr>
              <w:t xml:space="preserve"> 2 mm</w:t>
            </w:r>
          </w:p>
        </w:tc>
      </w:tr>
      <w:tr w:rsidR="00494D9D" w14:paraId="20531ECA" w14:textId="77777777" w:rsidTr="00E95AA7">
        <w:tc>
          <w:tcPr>
            <w:tcW w:w="10343" w:type="dxa"/>
            <w:gridSpan w:val="2"/>
          </w:tcPr>
          <w:p w14:paraId="0EAD1033" w14:textId="23A62117" w:rsidR="00494D9D" w:rsidRDefault="00494D9D" w:rsidP="00494D9D">
            <w:pPr>
              <w:jc w:val="center"/>
            </w:pPr>
            <w:r>
              <w:lastRenderedPageBreak/>
              <w:t>5.2.4 Télémètre</w:t>
            </w:r>
          </w:p>
        </w:tc>
      </w:tr>
      <w:tr w:rsidR="00494D9D" w14:paraId="04477450" w14:textId="77777777" w:rsidTr="00E95AA7">
        <w:tc>
          <w:tcPr>
            <w:tcW w:w="2547" w:type="dxa"/>
          </w:tcPr>
          <w:p w14:paraId="5E3642AE" w14:textId="11CDA018" w:rsidR="00494D9D" w:rsidRDefault="00494D9D" w:rsidP="00617F5F">
            <w:r>
              <w:t>Périodicité</w:t>
            </w:r>
          </w:p>
        </w:tc>
        <w:tc>
          <w:tcPr>
            <w:tcW w:w="7796" w:type="dxa"/>
          </w:tcPr>
          <w:p w14:paraId="62A8E433" w14:textId="208A57AE" w:rsidR="00494D9D" w:rsidRDefault="00494D9D" w:rsidP="00617F5F">
            <w:r>
              <w:t>Hebdomadaire à l’isocentre</w:t>
            </w:r>
            <w:r>
              <w:br/>
              <w:t>Mensuelle à DNT – 20 cm et DNT + 20 cm</w:t>
            </w:r>
          </w:p>
        </w:tc>
      </w:tr>
      <w:tr w:rsidR="00494D9D" w14:paraId="2AB8A2A6" w14:textId="77777777" w:rsidTr="00E95AA7">
        <w:tc>
          <w:tcPr>
            <w:tcW w:w="2547" w:type="dxa"/>
          </w:tcPr>
          <w:p w14:paraId="456F334A" w14:textId="43079783" w:rsidR="00494D9D" w:rsidRDefault="00494D9D" w:rsidP="00617F5F">
            <w:r>
              <w:t>Critères d’acceptabilité</w:t>
            </w:r>
          </w:p>
        </w:tc>
        <w:tc>
          <w:tcPr>
            <w:tcW w:w="7796" w:type="dxa"/>
          </w:tcPr>
          <w:p w14:paraId="560F7998" w14:textId="15D695C7" w:rsidR="00494D9D" w:rsidRDefault="00494D9D" w:rsidP="00617F5F">
            <w:r>
              <w:t>L’écart entre la distance indiquée par le télémètre et la distance réelle mesurée à l’isocentre, DNT – 20 cm et DNT + 20 cm, ne doit pas dépasser 2 fois celui mesuré lors du CQI initial</w:t>
            </w:r>
          </w:p>
        </w:tc>
      </w:tr>
      <w:tr w:rsidR="0005245F" w14:paraId="48BFCD40" w14:textId="77777777" w:rsidTr="00E95AA7">
        <w:tc>
          <w:tcPr>
            <w:tcW w:w="10343" w:type="dxa"/>
            <w:gridSpan w:val="2"/>
          </w:tcPr>
          <w:p w14:paraId="50542FEF" w14:textId="3BA002A9" w:rsidR="0005245F" w:rsidRDefault="0005245F" w:rsidP="0005245F">
            <w:pPr>
              <w:jc w:val="center"/>
            </w:pPr>
            <w:r>
              <w:t>5.2.5 Orthogonalité et symétrie des éléments des collimateurs</w:t>
            </w:r>
          </w:p>
        </w:tc>
      </w:tr>
      <w:tr w:rsidR="0005245F" w14:paraId="6E846C02" w14:textId="77777777" w:rsidTr="00E95AA7">
        <w:tc>
          <w:tcPr>
            <w:tcW w:w="2547" w:type="dxa"/>
          </w:tcPr>
          <w:p w14:paraId="0737EA1A" w14:textId="563FD3FE" w:rsidR="0005245F" w:rsidRDefault="0005245F" w:rsidP="0005245F">
            <w:r>
              <w:t>Périodicité</w:t>
            </w:r>
          </w:p>
        </w:tc>
        <w:tc>
          <w:tcPr>
            <w:tcW w:w="7796" w:type="dxa"/>
          </w:tcPr>
          <w:p w14:paraId="0ABE7360" w14:textId="01D363CF" w:rsidR="0005245F" w:rsidRDefault="00E95AA7" w:rsidP="00E95AA7">
            <w:pPr>
              <w:pStyle w:val="Paragraphedeliste"/>
              <w:numPr>
                <w:ilvl w:val="0"/>
                <w:numId w:val="1"/>
              </w:numPr>
            </w:pPr>
            <w:r>
              <w:t>Pour les collimateurs simples principaux, et pour les applicateurs utilisés pour les Fx d’e-, lorsqu’ils sont indépendants : semestrielle, contrôle réalisé sur les 4 positions cardinales du bras,</w:t>
            </w:r>
          </w:p>
          <w:p w14:paraId="1F467672" w14:textId="77777777" w:rsidR="00E95AA7" w:rsidRDefault="00E95AA7" w:rsidP="00E95AA7">
            <w:pPr>
              <w:pStyle w:val="Paragraphedeliste"/>
              <w:numPr>
                <w:ilvl w:val="0"/>
                <w:numId w:val="1"/>
              </w:numPr>
            </w:pPr>
            <w:r>
              <w:t xml:space="preserve">Pour les collimateurs </w:t>
            </w:r>
            <w:proofErr w:type="spellStart"/>
            <w:r>
              <w:t>multilames</w:t>
            </w:r>
            <w:proofErr w:type="spellEnd"/>
            <w:r>
              <w:t xml:space="preserve"> principaux et secondaires fixes ou amovibles : semestrielle sur 2 lames de chaque banc, en faisant varier le n° de la lame à chaque contrôle, bras et collimateur à 0° et collimateur à 90° ainsi qu’en alternance bras à 90° et 270°,</w:t>
            </w:r>
          </w:p>
          <w:p w14:paraId="071C94C8" w14:textId="3BA413F9" w:rsidR="00E95AA7" w:rsidRDefault="00E95AA7" w:rsidP="00E95AA7">
            <w:pPr>
              <w:pStyle w:val="Paragraphedeliste"/>
              <w:numPr>
                <w:ilvl w:val="0"/>
                <w:numId w:val="1"/>
              </w:numPr>
            </w:pPr>
            <w:r>
              <w:t>Pour les localisateurs d’e- : semestrielle, bras à 0° avec l’insert nominal.</w:t>
            </w:r>
          </w:p>
        </w:tc>
      </w:tr>
      <w:tr w:rsidR="0005245F" w14:paraId="3EC0ACD5" w14:textId="77777777" w:rsidTr="00E95AA7">
        <w:tc>
          <w:tcPr>
            <w:tcW w:w="2547" w:type="dxa"/>
          </w:tcPr>
          <w:p w14:paraId="4501A0FC" w14:textId="69B4A6FD" w:rsidR="0005245F" w:rsidRDefault="0005245F" w:rsidP="0005245F">
            <w:r>
              <w:t>Critères d’acceptabilité</w:t>
            </w:r>
          </w:p>
        </w:tc>
        <w:tc>
          <w:tcPr>
            <w:tcW w:w="7796" w:type="dxa"/>
          </w:tcPr>
          <w:p w14:paraId="3334C39B" w14:textId="77777777" w:rsidR="0005245F" w:rsidRPr="00E95AA7" w:rsidRDefault="00E95AA7" w:rsidP="00E95AA7">
            <w:pPr>
              <w:pStyle w:val="Paragraphedeliste"/>
              <w:numPr>
                <w:ilvl w:val="0"/>
                <w:numId w:val="1"/>
              </w:numPr>
            </w:pPr>
            <w:r>
              <w:t xml:space="preserve">Orthogonalité des collimateurs simples : avec le champ de dimensions maximales, les mâchoires adjacentes doivent former un angle de 90° </w:t>
            </w:r>
            <m:oMath>
              <m:r>
                <w:rPr>
                  <w:rFonts w:ascii="Cambria Math" w:hAnsi="Cambria Math"/>
                </w:rPr>
                <m:t>±</m:t>
              </m:r>
            </m:oMath>
            <w:r>
              <w:rPr>
                <w:rFonts w:eastAsiaTheme="minorEastAsia"/>
              </w:rPr>
              <w:t xml:space="preserve"> 1°,</w:t>
            </w:r>
          </w:p>
          <w:p w14:paraId="6A8965EB" w14:textId="77777777" w:rsidR="00E95AA7" w:rsidRPr="00E95AA7" w:rsidRDefault="00E95AA7" w:rsidP="00E95AA7">
            <w:pPr>
              <w:pStyle w:val="Paragraphedeliste"/>
              <w:numPr>
                <w:ilvl w:val="0"/>
                <w:numId w:val="1"/>
              </w:numPr>
            </w:pPr>
            <w:r>
              <w:rPr>
                <w:rFonts w:eastAsiaTheme="minorEastAsia"/>
              </w:rPr>
              <w:t>Symétrie des collimateurs simples : avec le champ de dimensions maximales, la différence des distances séparant l’axe mécanique du faisceau, matérialisé par la projection du réticule, des bords du champ lumineux mesurées le long de chaque axe principal doit rester inférieure ou égale à 1 mm ramené à la DNT,</w:t>
            </w:r>
          </w:p>
          <w:p w14:paraId="09FC6C07" w14:textId="77777777" w:rsidR="00E95AA7" w:rsidRPr="00E95AA7" w:rsidRDefault="00E95AA7" w:rsidP="00E95AA7">
            <w:pPr>
              <w:pStyle w:val="Paragraphedeliste"/>
              <w:numPr>
                <w:ilvl w:val="0"/>
                <w:numId w:val="1"/>
              </w:numPr>
            </w:pPr>
            <w:r>
              <w:rPr>
                <w:rFonts w:eastAsiaTheme="minorEastAsia"/>
              </w:rPr>
              <w:t xml:space="preserve">Orthogonalité des collimateurs </w:t>
            </w:r>
            <w:proofErr w:type="spellStart"/>
            <w:r>
              <w:rPr>
                <w:rFonts w:eastAsiaTheme="minorEastAsia"/>
              </w:rPr>
              <w:t>multilames</w:t>
            </w:r>
            <w:proofErr w:type="spellEnd"/>
            <w:r>
              <w:rPr>
                <w:rFonts w:eastAsiaTheme="minorEastAsia"/>
              </w:rPr>
              <w:t xml:space="preserve"> : la différence des 2 distances, mesurée entre chacune des 2 extrémités de la lame étudiée dans un champ rectangulaire et la </w:t>
            </w:r>
            <w:proofErr w:type="spellStart"/>
            <w:r>
              <w:rPr>
                <w:rFonts w:eastAsiaTheme="minorEastAsia"/>
              </w:rPr>
              <w:t>machoîre</w:t>
            </w:r>
            <w:proofErr w:type="spellEnd"/>
            <w:r>
              <w:rPr>
                <w:rFonts w:eastAsiaTheme="minorEastAsia"/>
              </w:rPr>
              <w:t xml:space="preserve"> perpendiculaire au sens de déplacement des lames, doit rester inférieure ou égale à 1 mm,</w:t>
            </w:r>
          </w:p>
          <w:p w14:paraId="6A89AD0D" w14:textId="628D568B" w:rsidR="00E95AA7" w:rsidRDefault="00E95AA7" w:rsidP="00E95AA7">
            <w:pPr>
              <w:pStyle w:val="Paragraphedeliste"/>
              <w:numPr>
                <w:ilvl w:val="0"/>
                <w:numId w:val="1"/>
              </w:numPr>
            </w:pPr>
            <w:r>
              <w:rPr>
                <w:rFonts w:eastAsiaTheme="minorEastAsia"/>
              </w:rPr>
              <w:t>Symétrie des MLC : avec le champ de dimensions max, la diff des distances séparant l’axe mécanique du faisceau, matéria</w:t>
            </w:r>
            <w:r w:rsidR="00425548">
              <w:rPr>
                <w:rFonts w:eastAsiaTheme="minorEastAsia"/>
              </w:rPr>
              <w:t>lisé par la projection du réticule, des bords de chaque lame mesurées le long de chaque axe principal doit rester inférieure ou égale à 1 mm ramené à la DNT.</w:t>
            </w:r>
          </w:p>
        </w:tc>
      </w:tr>
      <w:tr w:rsidR="00425548" w14:paraId="77A7E131" w14:textId="77777777" w:rsidTr="00E67E3C">
        <w:tc>
          <w:tcPr>
            <w:tcW w:w="10343" w:type="dxa"/>
            <w:gridSpan w:val="2"/>
          </w:tcPr>
          <w:p w14:paraId="495732E8" w14:textId="77777777" w:rsidR="00425548" w:rsidRDefault="00425548" w:rsidP="00425548">
            <w:pPr>
              <w:jc w:val="center"/>
            </w:pPr>
            <w:r>
              <w:t>5.2.6 Affichage des dimensions du champ d’irradiation</w:t>
            </w:r>
          </w:p>
          <w:p w14:paraId="5B2A0FAA" w14:textId="746EDC9D" w:rsidR="00425548" w:rsidRPr="00425548" w:rsidRDefault="00425548" w:rsidP="00425548">
            <w:pPr>
              <w:jc w:val="center"/>
              <w:rPr>
                <w:color w:val="FF0000"/>
              </w:rPr>
            </w:pPr>
            <w:r>
              <w:rPr>
                <w:color w:val="FF0000"/>
              </w:rPr>
              <w:t>(Ce test s’appliquer au collimateur principal et aux collimateurs additionnels en régime électrons)</w:t>
            </w:r>
          </w:p>
        </w:tc>
      </w:tr>
      <w:tr w:rsidR="0005245F" w14:paraId="05E6AE88" w14:textId="77777777" w:rsidTr="00E95AA7">
        <w:tc>
          <w:tcPr>
            <w:tcW w:w="2547" w:type="dxa"/>
          </w:tcPr>
          <w:p w14:paraId="2E8CBC84" w14:textId="330F3623" w:rsidR="0005245F" w:rsidRDefault="00425548" w:rsidP="0005245F">
            <w:r>
              <w:t>Périodicité</w:t>
            </w:r>
          </w:p>
        </w:tc>
        <w:tc>
          <w:tcPr>
            <w:tcW w:w="7796" w:type="dxa"/>
          </w:tcPr>
          <w:p w14:paraId="691D888C" w14:textId="28AD344E" w:rsidR="0005245F" w:rsidRDefault="00425548" w:rsidP="00425548">
            <w:pPr>
              <w:pStyle w:val="Paragraphedeliste"/>
              <w:numPr>
                <w:ilvl w:val="0"/>
                <w:numId w:val="1"/>
              </w:numPr>
            </w:pPr>
            <w:r>
              <w:t>Hebdomadaire pour un champ de référence, bras à 0°</w:t>
            </w:r>
          </w:p>
          <w:p w14:paraId="77F296C3" w14:textId="77777777" w:rsidR="00425548" w:rsidRDefault="00425548" w:rsidP="00425548">
            <w:pPr>
              <w:pStyle w:val="Paragraphedeliste"/>
              <w:numPr>
                <w:ilvl w:val="0"/>
                <w:numId w:val="1"/>
              </w:numPr>
            </w:pPr>
            <w:r>
              <w:t>Mensuelle pour 3 champs comprenant le champ de référence, bras à 0°</w:t>
            </w:r>
          </w:p>
          <w:p w14:paraId="6828F25C" w14:textId="396E31BF" w:rsidR="00425548" w:rsidRDefault="00425548" w:rsidP="00425548">
            <w:pPr>
              <w:pStyle w:val="Paragraphedeliste"/>
              <w:numPr>
                <w:ilvl w:val="0"/>
                <w:numId w:val="1"/>
              </w:numPr>
            </w:pPr>
            <w:r>
              <w:t>Semestrielle, pour un champ de référence, dans les quatre positions cardinales du bras ou à 0, 90 et 270° pour le régime e-</w:t>
            </w:r>
          </w:p>
        </w:tc>
      </w:tr>
      <w:tr w:rsidR="0005245F" w14:paraId="29B66462" w14:textId="77777777" w:rsidTr="00E95AA7">
        <w:tc>
          <w:tcPr>
            <w:tcW w:w="2547" w:type="dxa"/>
          </w:tcPr>
          <w:p w14:paraId="5C9E7003" w14:textId="75A19698" w:rsidR="0005245F" w:rsidRDefault="00425548" w:rsidP="0005245F">
            <w:r>
              <w:t>Critères d’acceptabilité</w:t>
            </w:r>
          </w:p>
        </w:tc>
        <w:tc>
          <w:tcPr>
            <w:tcW w:w="7796" w:type="dxa"/>
          </w:tcPr>
          <w:p w14:paraId="00246D42" w14:textId="6E348B72" w:rsidR="0005245F" w:rsidRDefault="00425548" w:rsidP="00425548">
            <w:pPr>
              <w:pStyle w:val="Paragraphedeliste"/>
              <w:numPr>
                <w:ilvl w:val="0"/>
                <w:numId w:val="1"/>
              </w:numPr>
            </w:pPr>
            <w:r>
              <w:t xml:space="preserve">Quel que soit le champ, l’écart entre chaque dimension du champ affichée et chaque </w:t>
            </w:r>
            <w:proofErr w:type="spellStart"/>
            <w:r>
              <w:t>dim</w:t>
            </w:r>
            <w:proofErr w:type="spellEnd"/>
            <w:r>
              <w:t xml:space="preserve"> du champ lumineux mesurée à la distance de </w:t>
            </w:r>
            <w:proofErr w:type="spellStart"/>
            <w:r>
              <w:t>ref</w:t>
            </w:r>
            <w:proofErr w:type="spellEnd"/>
            <w:r>
              <w:t xml:space="preserve"> doit être inférieur à 2 mm,</w:t>
            </w:r>
          </w:p>
          <w:p w14:paraId="453BFF1A" w14:textId="106F4E60" w:rsidR="00425548" w:rsidRDefault="00425548" w:rsidP="00425548">
            <w:pPr>
              <w:pStyle w:val="Paragraphedeliste"/>
              <w:numPr>
                <w:ilvl w:val="0"/>
                <w:numId w:val="1"/>
              </w:numPr>
            </w:pPr>
            <w:r>
              <w:t>L’affichage doit être reproductible quel que soit le sens d’ouverture ou de fermeture du collimateur</w:t>
            </w:r>
          </w:p>
        </w:tc>
      </w:tr>
      <w:tr w:rsidR="00425548" w14:paraId="2D2FE00B" w14:textId="77777777" w:rsidTr="00E67E3C">
        <w:tc>
          <w:tcPr>
            <w:tcW w:w="10343" w:type="dxa"/>
            <w:gridSpan w:val="2"/>
          </w:tcPr>
          <w:p w14:paraId="0EFD79A1" w14:textId="6393C5C1" w:rsidR="00425548" w:rsidRDefault="00425548" w:rsidP="00425548">
            <w:pPr>
              <w:jc w:val="center"/>
            </w:pPr>
            <w:r>
              <w:t xml:space="preserve">5.2.7 Exactitude et répétabilité du positionnement des lames des collimateurs </w:t>
            </w:r>
            <w:proofErr w:type="spellStart"/>
            <w:r>
              <w:t>multilames</w:t>
            </w:r>
            <w:proofErr w:type="spellEnd"/>
          </w:p>
        </w:tc>
      </w:tr>
      <w:tr w:rsidR="0005245F" w14:paraId="3418E4DB" w14:textId="77777777" w:rsidTr="00E95AA7">
        <w:tc>
          <w:tcPr>
            <w:tcW w:w="2547" w:type="dxa"/>
          </w:tcPr>
          <w:p w14:paraId="3C829EE0" w14:textId="22286AD9" w:rsidR="0005245F" w:rsidRDefault="00425548" w:rsidP="0005245F">
            <w:r>
              <w:t>Périodicité</w:t>
            </w:r>
          </w:p>
        </w:tc>
        <w:tc>
          <w:tcPr>
            <w:tcW w:w="7796" w:type="dxa"/>
          </w:tcPr>
          <w:p w14:paraId="7A15DEFF" w14:textId="32C445C1" w:rsidR="0005245F" w:rsidRDefault="00425548" w:rsidP="0005245F">
            <w:r>
              <w:t>Mensuelle bras à 0° ainsi qu’en alternance bras à 90° et bras à 270°</w:t>
            </w:r>
          </w:p>
        </w:tc>
      </w:tr>
      <w:tr w:rsidR="00425548" w14:paraId="5BAFF1C6" w14:textId="77777777" w:rsidTr="00E95AA7">
        <w:tc>
          <w:tcPr>
            <w:tcW w:w="2547" w:type="dxa"/>
          </w:tcPr>
          <w:p w14:paraId="1DD8DD47" w14:textId="2471DB71" w:rsidR="00425548" w:rsidRDefault="00425548" w:rsidP="00425548">
            <w:r>
              <w:t>Critères d’acceptabilité</w:t>
            </w:r>
          </w:p>
        </w:tc>
        <w:tc>
          <w:tcPr>
            <w:tcW w:w="7796" w:type="dxa"/>
          </w:tcPr>
          <w:p w14:paraId="23ADC01E" w14:textId="097C878A" w:rsidR="00425548" w:rsidRDefault="00425548" w:rsidP="00425548">
            <w:r>
              <w:t>Sur 3 positions différentes des bancs de lames X1 et X2, une position sur l’axe et 2 autres positions asymétriques de  part et d’autre de l’axe, la position réelle de chaque lame ne doit pas s’écarter de plus de 1 mm de la position prescrite</w:t>
            </w:r>
          </w:p>
        </w:tc>
      </w:tr>
      <w:tr w:rsidR="00425548" w14:paraId="4F4BC0A1" w14:textId="77777777" w:rsidTr="00E67E3C">
        <w:tc>
          <w:tcPr>
            <w:tcW w:w="10343" w:type="dxa"/>
            <w:gridSpan w:val="2"/>
          </w:tcPr>
          <w:p w14:paraId="0C771420" w14:textId="59270117" w:rsidR="00425548" w:rsidRDefault="00425548" w:rsidP="00425548">
            <w:pPr>
              <w:jc w:val="center"/>
            </w:pPr>
            <w:r>
              <w:t>5.2.8 Echelles angulaires du collimateur et du bras</w:t>
            </w:r>
          </w:p>
        </w:tc>
      </w:tr>
      <w:tr w:rsidR="00425548" w14:paraId="4A440C29" w14:textId="77777777" w:rsidTr="00E95AA7">
        <w:tc>
          <w:tcPr>
            <w:tcW w:w="2547" w:type="dxa"/>
          </w:tcPr>
          <w:p w14:paraId="2CAC046B" w14:textId="12893DF5" w:rsidR="00425548" w:rsidRDefault="00425548" w:rsidP="00425548">
            <w:r>
              <w:t>Périodicité</w:t>
            </w:r>
          </w:p>
        </w:tc>
        <w:tc>
          <w:tcPr>
            <w:tcW w:w="7796" w:type="dxa"/>
          </w:tcPr>
          <w:p w14:paraId="5E3249BF" w14:textId="275B457B" w:rsidR="00425548" w:rsidRDefault="00425548" w:rsidP="00425548">
            <w:r>
              <w:t>Mensuelle</w:t>
            </w:r>
          </w:p>
        </w:tc>
      </w:tr>
      <w:tr w:rsidR="00425548" w14:paraId="2CB9854D" w14:textId="77777777" w:rsidTr="00E95AA7">
        <w:tc>
          <w:tcPr>
            <w:tcW w:w="2547" w:type="dxa"/>
          </w:tcPr>
          <w:p w14:paraId="0F5EC873" w14:textId="66C721EF" w:rsidR="00425548" w:rsidRDefault="00425548" w:rsidP="00425548">
            <w:r>
              <w:t>Critères d’acceptabilité</w:t>
            </w:r>
          </w:p>
        </w:tc>
        <w:tc>
          <w:tcPr>
            <w:tcW w:w="7796" w:type="dxa"/>
          </w:tcPr>
          <w:p w14:paraId="423CACAF" w14:textId="05E21054" w:rsidR="00425548" w:rsidRDefault="00425548" w:rsidP="00425548">
            <w:r>
              <w:t xml:space="preserve">La tolérance sur la valeur d’angle affichée est de </w:t>
            </w:r>
            <m:oMath>
              <m:r>
                <w:rPr>
                  <w:rFonts w:ascii="Cambria Math" w:hAnsi="Cambria Math"/>
                </w:rPr>
                <m:t>±</m:t>
              </m:r>
            </m:oMath>
            <w:r>
              <w:rPr>
                <w:rFonts w:eastAsiaTheme="minorEastAsia"/>
              </w:rPr>
              <w:t xml:space="preserve"> 1°</w:t>
            </w:r>
          </w:p>
        </w:tc>
      </w:tr>
      <w:tr w:rsidR="00425548" w14:paraId="685BD9F6" w14:textId="77777777" w:rsidTr="00E67E3C">
        <w:tc>
          <w:tcPr>
            <w:tcW w:w="10343" w:type="dxa"/>
            <w:gridSpan w:val="2"/>
          </w:tcPr>
          <w:p w14:paraId="0FA281D7" w14:textId="41EB7511" w:rsidR="00425548" w:rsidRPr="00425548" w:rsidRDefault="00425548" w:rsidP="00425548">
            <w:pPr>
              <w:jc w:val="center"/>
              <w:rPr>
                <w:b/>
              </w:rPr>
            </w:pPr>
            <w:r>
              <w:rPr>
                <w:b/>
              </w:rPr>
              <w:t>5.3 Caractéristiques du faisceau en régime photons, en mode statique</w:t>
            </w:r>
          </w:p>
        </w:tc>
      </w:tr>
      <w:tr w:rsidR="00425548" w14:paraId="2894B53E" w14:textId="77777777" w:rsidTr="00E67E3C">
        <w:tc>
          <w:tcPr>
            <w:tcW w:w="10343" w:type="dxa"/>
            <w:gridSpan w:val="2"/>
          </w:tcPr>
          <w:p w14:paraId="40681162" w14:textId="77777777" w:rsidR="00425548" w:rsidRDefault="00425548" w:rsidP="00425548">
            <w:pPr>
              <w:jc w:val="center"/>
            </w:pPr>
            <w:r>
              <w:t>5.3.1 Correspondance entre le faisceau lumineux et le faisceau de rayonnement</w:t>
            </w:r>
          </w:p>
          <w:p w14:paraId="17DA30F4" w14:textId="58B18F5E" w:rsidR="00425548" w:rsidRPr="00425548" w:rsidRDefault="00425548" w:rsidP="00425548">
            <w:pPr>
              <w:jc w:val="center"/>
              <w:rPr>
                <w:color w:val="FF0000"/>
              </w:rPr>
            </w:pPr>
            <w:r>
              <w:rPr>
                <w:color w:val="FF0000"/>
              </w:rPr>
              <w:t xml:space="preserve">(Ce contrôle doit être effectué avec le collimateur principal simple ou MLC ainsi que les collimateurs </w:t>
            </w:r>
            <w:proofErr w:type="spellStart"/>
            <w:r>
              <w:rPr>
                <w:color w:val="FF0000"/>
              </w:rPr>
              <w:t>multilames</w:t>
            </w:r>
            <w:proofErr w:type="spellEnd"/>
            <w:r>
              <w:rPr>
                <w:color w:val="FF0000"/>
              </w:rPr>
              <w:t xml:space="preserve"> secondaires fixes ou amovibles)</w:t>
            </w:r>
          </w:p>
        </w:tc>
      </w:tr>
      <w:tr w:rsidR="00425548" w14:paraId="6BAEA85F" w14:textId="77777777" w:rsidTr="00E95AA7">
        <w:tc>
          <w:tcPr>
            <w:tcW w:w="2547" w:type="dxa"/>
          </w:tcPr>
          <w:p w14:paraId="5BFEE33A" w14:textId="52F0FB0D" w:rsidR="00425548" w:rsidRDefault="00425548" w:rsidP="00425548">
            <w:r>
              <w:t>Périodicité</w:t>
            </w:r>
          </w:p>
        </w:tc>
        <w:tc>
          <w:tcPr>
            <w:tcW w:w="7796" w:type="dxa"/>
          </w:tcPr>
          <w:p w14:paraId="4635C3F9" w14:textId="77777777" w:rsidR="00425548" w:rsidRDefault="00425548" w:rsidP="00425548">
            <w:pPr>
              <w:pStyle w:val="Paragraphedeliste"/>
              <w:numPr>
                <w:ilvl w:val="0"/>
                <w:numId w:val="1"/>
              </w:numPr>
            </w:pPr>
            <w:r>
              <w:t xml:space="preserve">Contrôle de </w:t>
            </w:r>
            <w:proofErr w:type="spellStart"/>
            <w:r>
              <w:t>ref</w:t>
            </w:r>
            <w:proofErr w:type="spellEnd"/>
            <w:r>
              <w:t xml:space="preserve"> annuel, pour un champ de </w:t>
            </w:r>
            <w:proofErr w:type="spellStart"/>
            <w:r>
              <w:t>ref</w:t>
            </w:r>
            <w:proofErr w:type="spellEnd"/>
            <w:r>
              <w:t xml:space="preserve"> bras à 0°,</w:t>
            </w:r>
          </w:p>
          <w:p w14:paraId="0E8A746A" w14:textId="77777777" w:rsidR="00425548" w:rsidRDefault="00425548" w:rsidP="00425548">
            <w:pPr>
              <w:pStyle w:val="Paragraphedeliste"/>
              <w:numPr>
                <w:ilvl w:val="0"/>
                <w:numId w:val="1"/>
              </w:numPr>
            </w:pPr>
            <w:r>
              <w:t>Contrôle de constance annuel de l’influence de la position du bras : sur les 3 positions cardinales du bras par rapport à la position du bras à 0°,</w:t>
            </w:r>
          </w:p>
          <w:p w14:paraId="5C600BB9" w14:textId="248BD327" w:rsidR="00425548" w:rsidRDefault="00425548" w:rsidP="00425548">
            <w:pPr>
              <w:pStyle w:val="Paragraphedeliste"/>
              <w:numPr>
                <w:ilvl w:val="0"/>
                <w:numId w:val="1"/>
              </w:numPr>
            </w:pPr>
            <w:r>
              <w:lastRenderedPageBreak/>
              <w:t>Contrôle de constance mensuel, bras à 0°</w:t>
            </w:r>
          </w:p>
        </w:tc>
      </w:tr>
      <w:tr w:rsidR="00425548" w14:paraId="586BDC3B" w14:textId="77777777" w:rsidTr="00E95AA7">
        <w:tc>
          <w:tcPr>
            <w:tcW w:w="2547" w:type="dxa"/>
          </w:tcPr>
          <w:p w14:paraId="1968D243" w14:textId="55B8101A" w:rsidR="00425548" w:rsidRDefault="00425548" w:rsidP="00425548">
            <w:r>
              <w:lastRenderedPageBreak/>
              <w:t>Critères d’acceptabilité</w:t>
            </w:r>
          </w:p>
        </w:tc>
        <w:tc>
          <w:tcPr>
            <w:tcW w:w="7796" w:type="dxa"/>
          </w:tcPr>
          <w:p w14:paraId="53F870BD" w14:textId="77777777" w:rsidR="00425548" w:rsidRDefault="00A15FDA" w:rsidP="00A15FDA">
            <w:pPr>
              <w:pStyle w:val="Paragraphedeliste"/>
              <w:numPr>
                <w:ilvl w:val="0"/>
                <w:numId w:val="1"/>
              </w:numPr>
            </w:pPr>
            <w:r>
              <w:t xml:space="preserve">Dans le plan de l’isocentre, à la profondeur de </w:t>
            </w:r>
            <w:proofErr w:type="spellStart"/>
            <w:r>
              <w:t>ref</w:t>
            </w:r>
            <w:proofErr w:type="spellEnd"/>
            <w:r>
              <w:t xml:space="preserve"> dans l’eau ou dans un matériau équivalent-tissus, la distance séparant le champ lumineux, de l’isodose 50 % de la dose absorbée sur l’axe du Fx, doit être inférieure ou égale à 2 mm ou 1 % de la taille du champ pour les champs de dimensions supérieures à 20x20 cm²,</w:t>
            </w:r>
          </w:p>
          <w:p w14:paraId="65571274" w14:textId="75112861" w:rsidR="00A15FDA" w:rsidRDefault="00A15FDA" w:rsidP="00A15FDA">
            <w:pPr>
              <w:pStyle w:val="Paragraphedeliste"/>
              <w:numPr>
                <w:ilvl w:val="0"/>
                <w:numId w:val="1"/>
              </w:numPr>
            </w:pPr>
            <w:r>
              <w:t>En cas de dépassement de cette valeur, s’assurer de la correspondance de l’axe mécanique du collimateur avec l’axe du Fx lumineux (point 5.2.1) et, si l’écart est confirmé, appliquer les dispositions prévues au point 3 de l’annexe.</w:t>
            </w:r>
          </w:p>
        </w:tc>
      </w:tr>
      <w:tr w:rsidR="00A15FDA" w14:paraId="28C43197" w14:textId="77777777" w:rsidTr="00E67E3C">
        <w:tc>
          <w:tcPr>
            <w:tcW w:w="10343" w:type="dxa"/>
            <w:gridSpan w:val="2"/>
          </w:tcPr>
          <w:p w14:paraId="2272CA36" w14:textId="02AEFB11" w:rsidR="00A15FDA" w:rsidRDefault="00A15FDA" w:rsidP="00A15FDA">
            <w:pPr>
              <w:jc w:val="center"/>
            </w:pPr>
            <w:r>
              <w:t>5.3.2 Homogénéité et symétrie des champs d’irradiation</w:t>
            </w:r>
          </w:p>
        </w:tc>
      </w:tr>
      <w:tr w:rsidR="00425548" w14:paraId="625F02AF" w14:textId="77777777" w:rsidTr="00E95AA7">
        <w:tc>
          <w:tcPr>
            <w:tcW w:w="2547" w:type="dxa"/>
          </w:tcPr>
          <w:p w14:paraId="75E7A93B" w14:textId="7BA29E68" w:rsidR="00425548" w:rsidRDefault="00A15FDA" w:rsidP="00425548">
            <w:r>
              <w:t>Périodicité</w:t>
            </w:r>
          </w:p>
        </w:tc>
        <w:tc>
          <w:tcPr>
            <w:tcW w:w="7796" w:type="dxa"/>
          </w:tcPr>
          <w:p w14:paraId="0D146536" w14:textId="77777777" w:rsidR="00425548" w:rsidRDefault="00A15FDA" w:rsidP="00A15FDA">
            <w:pPr>
              <w:pStyle w:val="Paragraphedeliste"/>
              <w:numPr>
                <w:ilvl w:val="0"/>
                <w:numId w:val="1"/>
              </w:numPr>
            </w:pPr>
            <w:r>
              <w:t xml:space="preserve">Contrôle de </w:t>
            </w:r>
            <w:proofErr w:type="spellStart"/>
            <w:r>
              <w:t>ref</w:t>
            </w:r>
            <w:proofErr w:type="spellEnd"/>
            <w:r>
              <w:t xml:space="preserve"> annuel, le contrôle portant sur les 4 positions cardinales du bras,</w:t>
            </w:r>
          </w:p>
          <w:p w14:paraId="5354416E" w14:textId="02646DCE" w:rsidR="00A15FDA" w:rsidRDefault="00A15FDA" w:rsidP="00A15FDA">
            <w:pPr>
              <w:pStyle w:val="Paragraphedeliste"/>
              <w:numPr>
                <w:ilvl w:val="0"/>
                <w:numId w:val="1"/>
              </w:numPr>
            </w:pPr>
            <w:r>
              <w:t>Contrôle de constance mensuel, bras à 0°</w:t>
            </w:r>
          </w:p>
        </w:tc>
      </w:tr>
      <w:tr w:rsidR="00A15FDA" w14:paraId="20DD1AD9" w14:textId="77777777" w:rsidTr="00E95AA7">
        <w:tc>
          <w:tcPr>
            <w:tcW w:w="2547" w:type="dxa"/>
          </w:tcPr>
          <w:p w14:paraId="65E18CAA" w14:textId="6A2417E9" w:rsidR="00A15FDA" w:rsidRDefault="005B1A6C" w:rsidP="00A15FDA">
            <w:r>
              <w:t>Modalité</w:t>
            </w:r>
          </w:p>
        </w:tc>
        <w:tc>
          <w:tcPr>
            <w:tcW w:w="7796" w:type="dxa"/>
          </w:tcPr>
          <w:p w14:paraId="18DE3D29" w14:textId="19E5019F" w:rsidR="00A15FDA" w:rsidRDefault="00A15FDA" w:rsidP="005B1A6C">
            <w:r>
              <w:t>A l’intérieur</w:t>
            </w:r>
            <w:r w:rsidR="005B1A6C">
              <w:t xml:space="preserve"> de la zone homogène telle que définie au point 4.3 de la présente annexe, l’homogénéité et la symétrie sont évaluées à partir des profils de dose établis suivant les directions médianes du champ, dans le plan de l’isocentre, et rapportées à la profondeur de </w:t>
            </w:r>
            <w:proofErr w:type="spellStart"/>
            <w:r w:rsidR="005B1A6C">
              <w:t>ref</w:t>
            </w:r>
            <w:proofErr w:type="spellEnd"/>
            <w:r w:rsidR="005B1A6C">
              <w:t xml:space="preserve"> dans l’eau ou dans un matériau équivalent-tissus pour un champ de dimensions au moins égales à 20x20 cm²</w:t>
            </w:r>
          </w:p>
        </w:tc>
      </w:tr>
      <w:tr w:rsidR="005B1A6C" w14:paraId="4C5ADA25" w14:textId="77777777" w:rsidTr="00E95AA7">
        <w:tc>
          <w:tcPr>
            <w:tcW w:w="2547" w:type="dxa"/>
          </w:tcPr>
          <w:p w14:paraId="1A37FF66" w14:textId="7E24AE97" w:rsidR="005B1A6C" w:rsidRDefault="005B1A6C" w:rsidP="005B1A6C">
            <w:r>
              <w:t>Critères d’acceptabilité</w:t>
            </w:r>
          </w:p>
        </w:tc>
        <w:tc>
          <w:tcPr>
            <w:tcW w:w="7796" w:type="dxa"/>
          </w:tcPr>
          <w:p w14:paraId="5E889BF2" w14:textId="77777777" w:rsidR="005B1A6C" w:rsidRPr="005B1A6C" w:rsidRDefault="005B1A6C" w:rsidP="005B1A6C">
            <w:pPr>
              <w:pStyle w:val="Paragraphedeliste"/>
              <w:numPr>
                <w:ilvl w:val="0"/>
                <w:numId w:val="1"/>
              </w:numPr>
            </w:pPr>
            <w:r>
              <w:t xml:space="preserve">Homogénéité : La variation de la dose dans les directions médianes du champ ne doit pas excéder </w:t>
            </w:r>
            <m:oMath>
              <m:r>
                <w:rPr>
                  <w:rFonts w:ascii="Cambria Math" w:hAnsi="Cambria Math"/>
                </w:rPr>
                <m:t>±</m:t>
              </m:r>
            </m:oMath>
            <w:r>
              <w:rPr>
                <w:rFonts w:eastAsiaTheme="minorEastAsia"/>
              </w:rPr>
              <w:t xml:space="preserve"> 3 % de la </w:t>
            </w:r>
            <w:proofErr w:type="spellStart"/>
            <w:r>
              <w:rPr>
                <w:rFonts w:eastAsiaTheme="minorEastAsia"/>
              </w:rPr>
              <w:t>valeurr</w:t>
            </w:r>
            <w:proofErr w:type="spellEnd"/>
            <w:r>
              <w:rPr>
                <w:rFonts w:eastAsiaTheme="minorEastAsia"/>
              </w:rPr>
              <w:t xml:space="preserve"> moyenne du max et du min mesurés,</w:t>
            </w:r>
          </w:p>
          <w:p w14:paraId="41847760" w14:textId="77777777" w:rsidR="005B1A6C" w:rsidRPr="005B1A6C" w:rsidRDefault="005B1A6C" w:rsidP="005B1A6C">
            <w:pPr>
              <w:pStyle w:val="Paragraphedeliste"/>
              <w:numPr>
                <w:ilvl w:val="0"/>
                <w:numId w:val="1"/>
              </w:numPr>
            </w:pPr>
            <w:r>
              <w:rPr>
                <w:rFonts w:eastAsiaTheme="minorEastAsia"/>
              </w:rPr>
              <w:t>Symétrie : le rapport des doses pour chaque couple de points symétriques par rapport à l’axe à l’intérieur de la zone homogène doit être compris entre 0,97 et 1,03</w:t>
            </w:r>
          </w:p>
          <w:p w14:paraId="714DAFB6" w14:textId="0E371BB1" w:rsidR="005B1A6C" w:rsidRDefault="005B1A6C" w:rsidP="005B1A6C">
            <w:pPr>
              <w:pStyle w:val="Paragraphedeliste"/>
              <w:numPr>
                <w:ilvl w:val="0"/>
                <w:numId w:val="1"/>
              </w:numPr>
            </w:pPr>
            <w:r>
              <w:rPr>
                <w:rFonts w:eastAsiaTheme="minorEastAsia"/>
              </w:rPr>
              <w:t>Stabilité de l’homogénéité en fonction de la rotation du bras : la variation du rapport des doses aux points latéraux à la dose sur l’axe doit être compris entre 0,97 et 1,03 pour les points situés aux 2/3 de l’intervalle entre le centre et le bord du champ lumineux.</w:t>
            </w:r>
          </w:p>
        </w:tc>
      </w:tr>
      <w:tr w:rsidR="005B1A6C" w14:paraId="7671ECA0" w14:textId="77777777" w:rsidTr="00E67E3C">
        <w:tc>
          <w:tcPr>
            <w:tcW w:w="10343" w:type="dxa"/>
            <w:gridSpan w:val="2"/>
          </w:tcPr>
          <w:p w14:paraId="1BF6ECB4" w14:textId="77777777" w:rsidR="005B1A6C" w:rsidRDefault="005B1A6C" w:rsidP="005B1A6C">
            <w:pPr>
              <w:jc w:val="center"/>
            </w:pPr>
            <w:r>
              <w:t>5.3.3 Pénombre des champs d’irradiation</w:t>
            </w:r>
          </w:p>
          <w:p w14:paraId="56B19A1B" w14:textId="6802999F" w:rsidR="005B1A6C" w:rsidRPr="005B1A6C" w:rsidRDefault="005B1A6C" w:rsidP="005B1A6C">
            <w:pPr>
              <w:jc w:val="center"/>
              <w:rPr>
                <w:color w:val="FF0000"/>
              </w:rPr>
            </w:pPr>
            <w:r>
              <w:rPr>
                <w:color w:val="FF0000"/>
              </w:rPr>
              <w:t xml:space="preserve">(Ce contrôle doit être effectué avec le collimateur principal simple ou </w:t>
            </w:r>
            <w:proofErr w:type="spellStart"/>
            <w:r>
              <w:rPr>
                <w:color w:val="FF0000"/>
              </w:rPr>
              <w:t>multilame</w:t>
            </w:r>
            <w:proofErr w:type="spellEnd"/>
            <w:r>
              <w:rPr>
                <w:color w:val="FF0000"/>
              </w:rPr>
              <w:t xml:space="preserve"> ainsi que les collimateurs </w:t>
            </w:r>
            <w:proofErr w:type="spellStart"/>
            <w:r>
              <w:rPr>
                <w:color w:val="FF0000"/>
              </w:rPr>
              <w:t>multilames</w:t>
            </w:r>
            <w:proofErr w:type="spellEnd"/>
            <w:r>
              <w:rPr>
                <w:color w:val="FF0000"/>
              </w:rPr>
              <w:t xml:space="preserve"> secondaires fixes ou amovibles)</w:t>
            </w:r>
          </w:p>
        </w:tc>
      </w:tr>
      <w:tr w:rsidR="005B1A6C" w14:paraId="0E644FE6" w14:textId="77777777" w:rsidTr="00E95AA7">
        <w:tc>
          <w:tcPr>
            <w:tcW w:w="2547" w:type="dxa"/>
          </w:tcPr>
          <w:p w14:paraId="382F9A5C" w14:textId="1B8B9246" w:rsidR="005B1A6C" w:rsidRDefault="005B1A6C" w:rsidP="005B1A6C">
            <w:r>
              <w:t>Périodicité</w:t>
            </w:r>
          </w:p>
        </w:tc>
        <w:tc>
          <w:tcPr>
            <w:tcW w:w="7796" w:type="dxa"/>
          </w:tcPr>
          <w:p w14:paraId="15418A53" w14:textId="15D6E029" w:rsidR="005B1A6C" w:rsidRDefault="005B1A6C" w:rsidP="005B1A6C">
            <w:r>
              <w:t>Annuelle</w:t>
            </w:r>
          </w:p>
        </w:tc>
      </w:tr>
      <w:tr w:rsidR="005B1A6C" w14:paraId="467A753D" w14:textId="77777777" w:rsidTr="00E95AA7">
        <w:tc>
          <w:tcPr>
            <w:tcW w:w="2547" w:type="dxa"/>
          </w:tcPr>
          <w:p w14:paraId="28124B87" w14:textId="2B56069A" w:rsidR="005B1A6C" w:rsidRDefault="005B1A6C" w:rsidP="005B1A6C">
            <w:r>
              <w:t>Modalités du contrôle</w:t>
            </w:r>
          </w:p>
        </w:tc>
        <w:tc>
          <w:tcPr>
            <w:tcW w:w="7796" w:type="dxa"/>
          </w:tcPr>
          <w:p w14:paraId="60E82FB1" w14:textId="0F7A4223" w:rsidR="005B1A6C" w:rsidRDefault="00FB15E7" w:rsidP="005B1A6C">
            <w:r>
              <w:t>La valeur de la pénombre telle que définie au point 4.6 de la présente annexe est mesurée pour chaque énergie à partir des profils de doses réalisés pour l’étude de l’homogénéité et de la symétrie</w:t>
            </w:r>
          </w:p>
        </w:tc>
      </w:tr>
      <w:tr w:rsidR="005B1A6C" w14:paraId="5AEE4EB6" w14:textId="77777777" w:rsidTr="00E95AA7">
        <w:tc>
          <w:tcPr>
            <w:tcW w:w="2547" w:type="dxa"/>
          </w:tcPr>
          <w:p w14:paraId="538A60FB" w14:textId="1D9D4FB8" w:rsidR="005B1A6C" w:rsidRDefault="00FB15E7" w:rsidP="005B1A6C">
            <w:r>
              <w:t>Critères d’acceptabilité</w:t>
            </w:r>
          </w:p>
        </w:tc>
        <w:tc>
          <w:tcPr>
            <w:tcW w:w="7796" w:type="dxa"/>
          </w:tcPr>
          <w:p w14:paraId="7EB7596B" w14:textId="3BD74F55" w:rsidR="005B1A6C" w:rsidRDefault="00FB15E7" w:rsidP="005B1A6C">
            <w:r>
              <w:t>La valeur de la pénombre ne doit pas varier de plus de 2 mm par rapport à la valeur de référence mesurée lors du contrôle de qualité interne initial ou après une intervention importante</w:t>
            </w:r>
          </w:p>
        </w:tc>
      </w:tr>
      <w:tr w:rsidR="00FB15E7" w14:paraId="73D993E2" w14:textId="77777777" w:rsidTr="00E67E3C">
        <w:tc>
          <w:tcPr>
            <w:tcW w:w="10343" w:type="dxa"/>
            <w:gridSpan w:val="2"/>
          </w:tcPr>
          <w:p w14:paraId="107501FA" w14:textId="4C18B791" w:rsidR="00FB15E7" w:rsidRDefault="00FB15E7" w:rsidP="00FB15E7">
            <w:pPr>
              <w:jc w:val="center"/>
            </w:pPr>
            <w:r>
              <w:t xml:space="preserve">5.3.4 Transmission et fuite </w:t>
            </w:r>
            <w:proofErr w:type="spellStart"/>
            <w:r>
              <w:t>interlames</w:t>
            </w:r>
            <w:proofErr w:type="spellEnd"/>
          </w:p>
        </w:tc>
      </w:tr>
      <w:tr w:rsidR="005B1A6C" w14:paraId="16BCF8F2" w14:textId="77777777" w:rsidTr="00E95AA7">
        <w:tc>
          <w:tcPr>
            <w:tcW w:w="2547" w:type="dxa"/>
          </w:tcPr>
          <w:p w14:paraId="48DEA1F7" w14:textId="4A7A9517" w:rsidR="005B1A6C" w:rsidRDefault="00FB15E7" w:rsidP="005B1A6C">
            <w:r>
              <w:t>Périodicité</w:t>
            </w:r>
          </w:p>
        </w:tc>
        <w:tc>
          <w:tcPr>
            <w:tcW w:w="7796" w:type="dxa"/>
          </w:tcPr>
          <w:p w14:paraId="1FF86164" w14:textId="583E1C2F" w:rsidR="005B1A6C" w:rsidRDefault="00FB15E7" w:rsidP="005B1A6C">
            <w:r>
              <w:t>Annuelle</w:t>
            </w:r>
          </w:p>
        </w:tc>
      </w:tr>
      <w:tr w:rsidR="00FB15E7" w14:paraId="3AE4CE8F" w14:textId="77777777" w:rsidTr="00E95AA7">
        <w:tc>
          <w:tcPr>
            <w:tcW w:w="2547" w:type="dxa"/>
          </w:tcPr>
          <w:p w14:paraId="4CF38C79" w14:textId="21F6DBE9" w:rsidR="00FB15E7" w:rsidRDefault="00FB15E7" w:rsidP="00FB15E7">
            <w:r>
              <w:t>Critères d’acceptabilité</w:t>
            </w:r>
          </w:p>
        </w:tc>
        <w:tc>
          <w:tcPr>
            <w:tcW w:w="7796" w:type="dxa"/>
          </w:tcPr>
          <w:p w14:paraId="3660CEA8" w14:textId="26D0611B" w:rsidR="00FB15E7" w:rsidRDefault="00FB15E7" w:rsidP="00FB15E7">
            <w:r>
              <w:t xml:space="preserve">Les valeurs de transmission et de fuite </w:t>
            </w:r>
            <w:proofErr w:type="spellStart"/>
            <w:r>
              <w:t>interlames</w:t>
            </w:r>
            <w:proofErr w:type="spellEnd"/>
            <w:r>
              <w:t xml:space="preserve"> doivent être conformes aux spécifications du fabricant</w:t>
            </w:r>
          </w:p>
        </w:tc>
      </w:tr>
      <w:tr w:rsidR="00FB15E7" w14:paraId="0C431C1C" w14:textId="77777777" w:rsidTr="00E67E3C">
        <w:tc>
          <w:tcPr>
            <w:tcW w:w="10343" w:type="dxa"/>
            <w:gridSpan w:val="2"/>
          </w:tcPr>
          <w:p w14:paraId="4B6F6A05" w14:textId="1B545B5C" w:rsidR="00FB15E7" w:rsidRDefault="00FB15E7" w:rsidP="00FB15E7">
            <w:pPr>
              <w:jc w:val="center"/>
            </w:pPr>
            <w:r>
              <w:t>5.3.5 Stabilité de l’énergie</w:t>
            </w:r>
          </w:p>
        </w:tc>
      </w:tr>
      <w:tr w:rsidR="00FB15E7" w14:paraId="266197FB" w14:textId="77777777" w:rsidTr="00E95AA7">
        <w:tc>
          <w:tcPr>
            <w:tcW w:w="2547" w:type="dxa"/>
          </w:tcPr>
          <w:p w14:paraId="4059E719" w14:textId="4B90F8B0" w:rsidR="00FB15E7" w:rsidRDefault="00FB15E7" w:rsidP="00FB15E7">
            <w:r>
              <w:t>Périodicité</w:t>
            </w:r>
          </w:p>
        </w:tc>
        <w:tc>
          <w:tcPr>
            <w:tcW w:w="7796" w:type="dxa"/>
          </w:tcPr>
          <w:p w14:paraId="4653C468" w14:textId="77777777" w:rsidR="00FB15E7" w:rsidRDefault="00FB15E7" w:rsidP="00FB15E7">
            <w:pPr>
              <w:pStyle w:val="Paragraphedeliste"/>
              <w:numPr>
                <w:ilvl w:val="0"/>
                <w:numId w:val="1"/>
              </w:numPr>
            </w:pPr>
            <w:r>
              <w:t xml:space="preserve">Contrôle de </w:t>
            </w:r>
            <w:proofErr w:type="spellStart"/>
            <w:r>
              <w:t>ref</w:t>
            </w:r>
            <w:proofErr w:type="spellEnd"/>
            <w:r>
              <w:t xml:space="preserve"> annuel</w:t>
            </w:r>
          </w:p>
          <w:p w14:paraId="54038712" w14:textId="7A037D9C" w:rsidR="00FB15E7" w:rsidRDefault="00FB15E7" w:rsidP="00FB15E7">
            <w:pPr>
              <w:pStyle w:val="Paragraphedeliste"/>
              <w:numPr>
                <w:ilvl w:val="0"/>
                <w:numId w:val="1"/>
              </w:numPr>
            </w:pPr>
            <w:r>
              <w:t>Contrôle de constance mensuel</w:t>
            </w:r>
          </w:p>
        </w:tc>
      </w:tr>
      <w:tr w:rsidR="00FB15E7" w14:paraId="59006D0E" w14:textId="77777777" w:rsidTr="00E95AA7">
        <w:tc>
          <w:tcPr>
            <w:tcW w:w="2547" w:type="dxa"/>
          </w:tcPr>
          <w:p w14:paraId="3FAE7A1E" w14:textId="4FB5BB0A" w:rsidR="00FB15E7" w:rsidRDefault="00FB15E7" w:rsidP="00FB15E7">
            <w:r>
              <w:t>Modalités du contrôle</w:t>
            </w:r>
          </w:p>
        </w:tc>
        <w:tc>
          <w:tcPr>
            <w:tcW w:w="7796" w:type="dxa"/>
          </w:tcPr>
          <w:p w14:paraId="238FA6D8" w14:textId="17EA81B1" w:rsidR="00FB15E7" w:rsidRDefault="00FB15E7" w:rsidP="00FB15E7">
            <w:r>
              <w:t xml:space="preserve">Pour le contrôle de </w:t>
            </w:r>
            <w:proofErr w:type="spellStart"/>
            <w:r>
              <w:t>ref</w:t>
            </w:r>
            <w:proofErr w:type="spellEnd"/>
            <w:r>
              <w:t> : Déterminer l’indice de qualité TPR20/10 ou D20/D10 tels que définis ci-dessus</w:t>
            </w:r>
          </w:p>
        </w:tc>
      </w:tr>
      <w:tr w:rsidR="00FB15E7" w14:paraId="31B623D7" w14:textId="77777777" w:rsidTr="00E95AA7">
        <w:tc>
          <w:tcPr>
            <w:tcW w:w="2547" w:type="dxa"/>
          </w:tcPr>
          <w:p w14:paraId="0BC4FED1" w14:textId="11EE29B0" w:rsidR="00FB15E7" w:rsidRDefault="00FB15E7" w:rsidP="00FB15E7">
            <w:r>
              <w:t>Critères d’acceptabilité</w:t>
            </w:r>
          </w:p>
        </w:tc>
        <w:tc>
          <w:tcPr>
            <w:tcW w:w="7796" w:type="dxa"/>
          </w:tcPr>
          <w:p w14:paraId="1F70493B" w14:textId="3D1298A2" w:rsidR="00FB15E7" w:rsidRDefault="00FB15E7" w:rsidP="00FB15E7">
            <w:r>
              <w:t xml:space="preserve">Les variations de la valeur de l’indice de qualité choisi doivent rester inférieures à </w:t>
            </w:r>
            <m:oMath>
              <m:r>
                <w:rPr>
                  <w:rFonts w:ascii="Cambria Math" w:hAnsi="Cambria Math"/>
                </w:rPr>
                <m:t>±</m:t>
              </m:r>
            </m:oMath>
            <w:r>
              <w:rPr>
                <w:rFonts w:eastAsiaTheme="minorEastAsia"/>
              </w:rPr>
              <w:t xml:space="preserve"> 1 % par rapport aux valeurs de ref déterminés lors du CQI initial pour toutes les énergies</w:t>
            </w:r>
          </w:p>
        </w:tc>
      </w:tr>
      <w:tr w:rsidR="00FB15E7" w14:paraId="725C76A8" w14:textId="77777777" w:rsidTr="00E67E3C">
        <w:tc>
          <w:tcPr>
            <w:tcW w:w="10343" w:type="dxa"/>
            <w:gridSpan w:val="2"/>
          </w:tcPr>
          <w:p w14:paraId="39EDC99E" w14:textId="30D8FA3E" w:rsidR="00FB15E7" w:rsidRDefault="00FB15E7" w:rsidP="00FB15E7">
            <w:pPr>
              <w:jc w:val="center"/>
            </w:pPr>
            <w:r>
              <w:t>5.3.6 Transmission du filtre en coin</w:t>
            </w:r>
          </w:p>
        </w:tc>
      </w:tr>
      <w:tr w:rsidR="00FB15E7" w14:paraId="1609F0D5" w14:textId="77777777" w:rsidTr="00E95AA7">
        <w:tc>
          <w:tcPr>
            <w:tcW w:w="2547" w:type="dxa"/>
          </w:tcPr>
          <w:p w14:paraId="1BFE2624" w14:textId="59DED702" w:rsidR="00FB15E7" w:rsidRDefault="00FB15E7" w:rsidP="00FB15E7">
            <w:r>
              <w:t>Périodicité</w:t>
            </w:r>
          </w:p>
        </w:tc>
        <w:tc>
          <w:tcPr>
            <w:tcW w:w="7796" w:type="dxa"/>
          </w:tcPr>
          <w:p w14:paraId="05456D1B" w14:textId="77777777" w:rsidR="00FB15E7" w:rsidRDefault="00FB15E7" w:rsidP="00FB15E7">
            <w:pPr>
              <w:pStyle w:val="Paragraphedeliste"/>
              <w:numPr>
                <w:ilvl w:val="0"/>
                <w:numId w:val="1"/>
              </w:numPr>
            </w:pPr>
            <w:r>
              <w:t>Filtre additionnel : annuelle</w:t>
            </w:r>
          </w:p>
          <w:p w14:paraId="0009E103" w14:textId="15E6439F" w:rsidR="00FB15E7" w:rsidRDefault="00FB15E7" w:rsidP="00FB15E7">
            <w:pPr>
              <w:pStyle w:val="Paragraphedeliste"/>
              <w:numPr>
                <w:ilvl w:val="0"/>
                <w:numId w:val="1"/>
              </w:numPr>
            </w:pPr>
            <w:r>
              <w:t>Filtre permanent embarqué et filtre dynamique : mensuelle</w:t>
            </w:r>
          </w:p>
        </w:tc>
      </w:tr>
      <w:tr w:rsidR="00FB15E7" w14:paraId="0CF7C1AC" w14:textId="77777777" w:rsidTr="00E95AA7">
        <w:tc>
          <w:tcPr>
            <w:tcW w:w="2547" w:type="dxa"/>
          </w:tcPr>
          <w:p w14:paraId="247A49C1" w14:textId="3781C316" w:rsidR="00FB15E7" w:rsidRDefault="00FB15E7" w:rsidP="00FB15E7">
            <w:r>
              <w:lastRenderedPageBreak/>
              <w:t>Critères d’acceptabilité</w:t>
            </w:r>
          </w:p>
        </w:tc>
        <w:tc>
          <w:tcPr>
            <w:tcW w:w="7796" w:type="dxa"/>
          </w:tcPr>
          <w:p w14:paraId="49171D95" w14:textId="77777777" w:rsidR="00FB15E7" w:rsidRDefault="00FB15E7" w:rsidP="00FB15E7">
            <w:pPr>
              <w:pStyle w:val="Paragraphedeliste"/>
              <w:numPr>
                <w:ilvl w:val="0"/>
                <w:numId w:val="1"/>
              </w:numPr>
            </w:pPr>
            <w:r>
              <w:t xml:space="preserve">Pour chaque énergie, les variations du facteur de transmission du filtre en coin défini au point 4.5 de l’annexe ne doivent pas dépasser 2 % par rapport à la valeur de </w:t>
            </w:r>
            <w:proofErr w:type="spellStart"/>
            <w:r>
              <w:t>ref</w:t>
            </w:r>
            <w:proofErr w:type="spellEnd"/>
            <w:r>
              <w:t>,</w:t>
            </w:r>
          </w:p>
          <w:p w14:paraId="026C39F3" w14:textId="5CBEF609" w:rsidR="00FB15E7" w:rsidRDefault="00FB15E7" w:rsidP="00FB15E7">
            <w:pPr>
              <w:pStyle w:val="Paragraphedeliste"/>
              <w:numPr>
                <w:ilvl w:val="0"/>
                <w:numId w:val="1"/>
              </w:numPr>
            </w:pPr>
            <w:r>
              <w:t>Un écart supérieur nécessite la remise en conformité ou le remplacement du filtre en coin et suspension de l’exploitation du filtre</w:t>
            </w:r>
          </w:p>
        </w:tc>
      </w:tr>
      <w:tr w:rsidR="00FB15E7" w14:paraId="548C3889" w14:textId="77777777" w:rsidTr="00E67E3C">
        <w:tc>
          <w:tcPr>
            <w:tcW w:w="10343" w:type="dxa"/>
            <w:gridSpan w:val="2"/>
          </w:tcPr>
          <w:p w14:paraId="067BC048" w14:textId="7D72FF6A" w:rsidR="00FB15E7" w:rsidRPr="00FB15E7" w:rsidRDefault="00FB15E7" w:rsidP="00FB15E7">
            <w:pPr>
              <w:jc w:val="center"/>
              <w:rPr>
                <w:b/>
              </w:rPr>
            </w:pPr>
            <w:r>
              <w:rPr>
                <w:b/>
              </w:rPr>
              <w:t>5.4 Caractéristiques du faisceau en régime électrons</w:t>
            </w:r>
          </w:p>
        </w:tc>
      </w:tr>
      <w:tr w:rsidR="00FB15E7" w14:paraId="6B663657" w14:textId="77777777" w:rsidTr="00E67E3C">
        <w:tc>
          <w:tcPr>
            <w:tcW w:w="10343" w:type="dxa"/>
            <w:gridSpan w:val="2"/>
          </w:tcPr>
          <w:p w14:paraId="062598DE" w14:textId="49D54B81" w:rsidR="00FB15E7" w:rsidRDefault="00FB15E7" w:rsidP="00FB15E7">
            <w:pPr>
              <w:jc w:val="center"/>
            </w:pPr>
            <w:r>
              <w:t>5.4.1 Correspondance entre le faisceau lumineux et le faisceau de rayonnement</w:t>
            </w:r>
          </w:p>
        </w:tc>
      </w:tr>
      <w:tr w:rsidR="00FB15E7" w14:paraId="28820412" w14:textId="77777777" w:rsidTr="00E95AA7">
        <w:tc>
          <w:tcPr>
            <w:tcW w:w="2547" w:type="dxa"/>
          </w:tcPr>
          <w:p w14:paraId="00E60CEE" w14:textId="388CF214" w:rsidR="00FB15E7" w:rsidRDefault="00FB15E7" w:rsidP="00FB15E7">
            <w:r>
              <w:t>Périodicité</w:t>
            </w:r>
          </w:p>
        </w:tc>
        <w:tc>
          <w:tcPr>
            <w:tcW w:w="7796" w:type="dxa"/>
          </w:tcPr>
          <w:p w14:paraId="148AB658" w14:textId="1ED2E096" w:rsidR="00FB15E7" w:rsidRDefault="00FB15E7" w:rsidP="00FB15E7">
            <w:r>
              <w:t>Mensuelle</w:t>
            </w:r>
          </w:p>
        </w:tc>
      </w:tr>
      <w:tr w:rsidR="00FB15E7" w14:paraId="23AF6361" w14:textId="77777777" w:rsidTr="00E95AA7">
        <w:tc>
          <w:tcPr>
            <w:tcW w:w="2547" w:type="dxa"/>
          </w:tcPr>
          <w:p w14:paraId="4D75C824" w14:textId="525917C2" w:rsidR="00FB15E7" w:rsidRDefault="00FB15E7" w:rsidP="00FB15E7">
            <w:r>
              <w:t>Critères d’acceptabilité</w:t>
            </w:r>
          </w:p>
        </w:tc>
        <w:tc>
          <w:tcPr>
            <w:tcW w:w="7796" w:type="dxa"/>
          </w:tcPr>
          <w:p w14:paraId="4289EBDD" w14:textId="2B3BD395" w:rsidR="00FB15E7" w:rsidRDefault="00FB15E7" w:rsidP="00FB15E7">
            <w:pPr>
              <w:pStyle w:val="Paragraphedeliste"/>
              <w:numPr>
                <w:ilvl w:val="0"/>
                <w:numId w:val="1"/>
              </w:numPr>
            </w:pPr>
            <w:r>
              <w:t xml:space="preserve">Dans les conditions de </w:t>
            </w:r>
            <w:proofErr w:type="spellStart"/>
            <w:r>
              <w:t>ref</w:t>
            </w:r>
            <w:proofErr w:type="spellEnd"/>
            <w:r>
              <w:t xml:space="preserve">, la distance séparant le champ lumineux de l’isodose 50 % de la dose absorbée sur l’axe du faisceau doit être inférieure ou égale à 2 mm ou 1 % de la taille du champ pour les champs de </w:t>
            </w:r>
            <w:proofErr w:type="spellStart"/>
            <w:r>
              <w:t>dim</w:t>
            </w:r>
            <w:proofErr w:type="spellEnd"/>
            <w:r>
              <w:t xml:space="preserve"> supérieures à 20x20 cm²</w:t>
            </w:r>
          </w:p>
          <w:p w14:paraId="3A8BE3D0" w14:textId="3F03D446" w:rsidR="00FB15E7" w:rsidRDefault="00FB15E7" w:rsidP="00FB15E7">
            <w:pPr>
              <w:pStyle w:val="Paragraphedeliste"/>
              <w:numPr>
                <w:ilvl w:val="0"/>
                <w:numId w:val="1"/>
              </w:numPr>
            </w:pPr>
            <w:r>
              <w:t>Si dépassement, s’assurer de la correspondance de l’axe mécanique du collimateur avec l’axe du faisceau lumineux dans les conditions définies au point 5.2.1 de l’annexe et, si l’écart est confirmé, appliquer les dispositions prévues au point 3 de la présente annexe</w:t>
            </w:r>
          </w:p>
        </w:tc>
      </w:tr>
      <w:tr w:rsidR="00CA0EFD" w14:paraId="05C4799D" w14:textId="77777777" w:rsidTr="00E67E3C">
        <w:tc>
          <w:tcPr>
            <w:tcW w:w="10343" w:type="dxa"/>
            <w:gridSpan w:val="2"/>
          </w:tcPr>
          <w:p w14:paraId="202D528C" w14:textId="3B2EEAA5" w:rsidR="00CA0EFD" w:rsidRDefault="003F46DF" w:rsidP="003F46DF">
            <w:pPr>
              <w:jc w:val="center"/>
            </w:pPr>
            <w:r>
              <w:t>5.4.2 Homogénéité et symétrie du champ d’irradiation</w:t>
            </w:r>
          </w:p>
        </w:tc>
      </w:tr>
      <w:tr w:rsidR="00FB15E7" w14:paraId="6BDCF607" w14:textId="77777777" w:rsidTr="00E95AA7">
        <w:tc>
          <w:tcPr>
            <w:tcW w:w="2547" w:type="dxa"/>
          </w:tcPr>
          <w:p w14:paraId="5FFA18BA" w14:textId="72DDE694" w:rsidR="00FB15E7" w:rsidRDefault="003F46DF" w:rsidP="00FB15E7">
            <w:r>
              <w:t>Périodicité</w:t>
            </w:r>
          </w:p>
        </w:tc>
        <w:tc>
          <w:tcPr>
            <w:tcW w:w="7796" w:type="dxa"/>
          </w:tcPr>
          <w:p w14:paraId="2BFA423F" w14:textId="77777777" w:rsidR="00FB15E7" w:rsidRDefault="003F46DF" w:rsidP="003F46DF">
            <w:pPr>
              <w:pStyle w:val="Paragraphedeliste"/>
              <w:numPr>
                <w:ilvl w:val="0"/>
                <w:numId w:val="1"/>
              </w:numPr>
            </w:pPr>
            <w:r>
              <w:t xml:space="preserve">Contrôle de </w:t>
            </w:r>
            <w:proofErr w:type="spellStart"/>
            <w:r>
              <w:t>ref</w:t>
            </w:r>
            <w:proofErr w:type="spellEnd"/>
            <w:r>
              <w:t xml:space="preserve"> annuel, bras à 0°</w:t>
            </w:r>
          </w:p>
          <w:p w14:paraId="1893742F" w14:textId="70B90AC3" w:rsidR="003F46DF" w:rsidRDefault="003F46DF" w:rsidP="003F46DF">
            <w:pPr>
              <w:pStyle w:val="Paragraphedeliste"/>
              <w:numPr>
                <w:ilvl w:val="0"/>
                <w:numId w:val="1"/>
              </w:numPr>
            </w:pPr>
            <w:r>
              <w:t>Contrôle de constance annuel de l’influence de la position du bras : au moins 2 positions cardinales (90 et 270°)</w:t>
            </w:r>
          </w:p>
        </w:tc>
      </w:tr>
      <w:tr w:rsidR="003F46DF" w14:paraId="7BCC74C8" w14:textId="77777777" w:rsidTr="00E95AA7">
        <w:tc>
          <w:tcPr>
            <w:tcW w:w="2547" w:type="dxa"/>
          </w:tcPr>
          <w:p w14:paraId="7B0509CD" w14:textId="5956AA96" w:rsidR="003F46DF" w:rsidRDefault="003F46DF" w:rsidP="003F46DF">
            <w:r>
              <w:t>Modalités du contrôle</w:t>
            </w:r>
          </w:p>
        </w:tc>
        <w:tc>
          <w:tcPr>
            <w:tcW w:w="7796" w:type="dxa"/>
          </w:tcPr>
          <w:p w14:paraId="0B55F609" w14:textId="3CF05452" w:rsidR="003F46DF" w:rsidRDefault="007A0499" w:rsidP="003F46DF">
            <w:r>
              <w:t xml:space="preserve">L’homogénéité et la symétrie du champ sont évalués à partir des profils de dose établis suivant les directions médianes du champ dans les conditions de </w:t>
            </w:r>
            <w:proofErr w:type="spellStart"/>
            <w:r>
              <w:t>ref</w:t>
            </w:r>
            <w:proofErr w:type="spellEnd"/>
          </w:p>
        </w:tc>
      </w:tr>
      <w:tr w:rsidR="003F46DF" w14:paraId="4683D19F" w14:textId="77777777" w:rsidTr="00E95AA7">
        <w:tc>
          <w:tcPr>
            <w:tcW w:w="2547" w:type="dxa"/>
          </w:tcPr>
          <w:p w14:paraId="323A04D1" w14:textId="64A5A28C" w:rsidR="003F46DF" w:rsidRDefault="003F46DF" w:rsidP="003F46DF">
            <w:r>
              <w:t>Critères d’acceptabilité</w:t>
            </w:r>
          </w:p>
        </w:tc>
        <w:tc>
          <w:tcPr>
            <w:tcW w:w="7796" w:type="dxa"/>
          </w:tcPr>
          <w:p w14:paraId="09B6B817" w14:textId="3D45A6D5" w:rsidR="003F46DF" w:rsidRDefault="007A0499" w:rsidP="007A0499">
            <w:pPr>
              <w:pStyle w:val="Paragraphedeliste"/>
              <w:numPr>
                <w:ilvl w:val="0"/>
                <w:numId w:val="1"/>
              </w:numPr>
            </w:pPr>
            <w:r>
              <w:t xml:space="preserve">Le facteur d’homogénéité tel que défini au point 4.4 doit être supérieur ou égal à 0,85. Pour les champs de </w:t>
            </w:r>
            <w:proofErr w:type="spellStart"/>
            <w:r>
              <w:t>dim</w:t>
            </w:r>
            <w:proofErr w:type="spellEnd"/>
            <w:r>
              <w:t xml:space="preserve"> supérieures ou égales à 5x5 cm² et inférieures ou égales à 20x20 cm², la valeur maximale de la dose dans le champ d’irradiation ne doit pas excéder de plus de 3,5 % la valeur mesurée sur l’axe pour les énergies &gt; 7 MeV</w:t>
            </w:r>
          </w:p>
          <w:p w14:paraId="08466702" w14:textId="77777777" w:rsidR="007A0499" w:rsidRDefault="007A0499" w:rsidP="007A0499">
            <w:pPr>
              <w:pStyle w:val="Paragraphedeliste"/>
              <w:numPr>
                <w:ilvl w:val="0"/>
                <w:numId w:val="1"/>
              </w:numPr>
            </w:pPr>
            <w:r>
              <w:t>Pour les énergies inférieures à 7 MeV, le pourcentage d’écart ne doit pas être supérieur à 2 points de plus que celui constaté lors du CQI initial</w:t>
            </w:r>
          </w:p>
          <w:p w14:paraId="18C847AC" w14:textId="77777777" w:rsidR="007A0499" w:rsidRDefault="007A0499" w:rsidP="007A0499">
            <w:pPr>
              <w:pStyle w:val="Paragraphedeliste"/>
              <w:numPr>
                <w:ilvl w:val="0"/>
                <w:numId w:val="1"/>
              </w:numPr>
            </w:pPr>
            <w:r>
              <w:t>Symétrie : le rapport des valeurs mesurées pour chaque couple de points symétriques par rapport à l’axe du Fx doit être compris entre 0,97 et 1,03 à l’intérieur de la zone définie par l’isodose 90 %</w:t>
            </w:r>
          </w:p>
          <w:p w14:paraId="76D78E87" w14:textId="0CB06169" w:rsidR="007A0499" w:rsidRDefault="007A0499" w:rsidP="007A0499">
            <w:pPr>
              <w:pStyle w:val="Paragraphedeliste"/>
              <w:numPr>
                <w:ilvl w:val="0"/>
                <w:numId w:val="1"/>
              </w:numPr>
            </w:pPr>
            <w:r>
              <w:t>Stabilité de l’homogénéité en fonction de la rotation du bras : la variation du rapport des doses aux points latéraux à la dose sur l’axe doit être compris entre 0,97 et 1,03 pour les points situés aux 2/3 de l’intervalle entre le centre et le bord lumineux</w:t>
            </w:r>
          </w:p>
        </w:tc>
      </w:tr>
      <w:tr w:rsidR="007A0499" w14:paraId="14E03EDD" w14:textId="77777777" w:rsidTr="00E67E3C">
        <w:tc>
          <w:tcPr>
            <w:tcW w:w="10343" w:type="dxa"/>
            <w:gridSpan w:val="2"/>
          </w:tcPr>
          <w:p w14:paraId="0BA6B0FB" w14:textId="35AB3987" w:rsidR="007A0499" w:rsidRDefault="007A0499" w:rsidP="007A0499">
            <w:pPr>
              <w:jc w:val="center"/>
            </w:pPr>
            <w:r>
              <w:t>5.4.3 Pénombre des champs d’irradiation</w:t>
            </w:r>
          </w:p>
        </w:tc>
      </w:tr>
      <w:tr w:rsidR="003F46DF" w14:paraId="6104F177" w14:textId="77777777" w:rsidTr="00E95AA7">
        <w:tc>
          <w:tcPr>
            <w:tcW w:w="2547" w:type="dxa"/>
          </w:tcPr>
          <w:p w14:paraId="5936021C" w14:textId="3CE54D38" w:rsidR="003F46DF" w:rsidRDefault="007A0499" w:rsidP="003F46DF">
            <w:r>
              <w:t>Périodicité</w:t>
            </w:r>
          </w:p>
        </w:tc>
        <w:tc>
          <w:tcPr>
            <w:tcW w:w="7796" w:type="dxa"/>
          </w:tcPr>
          <w:p w14:paraId="07FBC6C4" w14:textId="0CD9FE7D" w:rsidR="003F46DF" w:rsidRDefault="007A0499" w:rsidP="003F46DF">
            <w:r>
              <w:t>Annuelle</w:t>
            </w:r>
          </w:p>
        </w:tc>
      </w:tr>
      <w:tr w:rsidR="003F46DF" w14:paraId="16AA5016" w14:textId="77777777" w:rsidTr="00E95AA7">
        <w:tc>
          <w:tcPr>
            <w:tcW w:w="2547" w:type="dxa"/>
          </w:tcPr>
          <w:p w14:paraId="3DB495D6" w14:textId="4D6B6DD5" w:rsidR="003F46DF" w:rsidRDefault="007A0499" w:rsidP="003F46DF">
            <w:r>
              <w:t>Modalités du contrôle</w:t>
            </w:r>
          </w:p>
        </w:tc>
        <w:tc>
          <w:tcPr>
            <w:tcW w:w="7796" w:type="dxa"/>
          </w:tcPr>
          <w:p w14:paraId="53E516D8" w14:textId="05249ABF" w:rsidR="003F46DF" w:rsidRDefault="007A0499" w:rsidP="003F46DF">
            <w:r>
              <w:t>La valeur de la pénombre (point 4.6) est mesurée pour chaque énergie à partir des profils de dose réalisés pour l’étude de l’homogénéité et de la symétrie</w:t>
            </w:r>
          </w:p>
        </w:tc>
      </w:tr>
      <w:tr w:rsidR="007A0499" w14:paraId="4F3934AE" w14:textId="77777777" w:rsidTr="00E95AA7">
        <w:tc>
          <w:tcPr>
            <w:tcW w:w="2547" w:type="dxa"/>
          </w:tcPr>
          <w:p w14:paraId="6D5C0F56" w14:textId="699B28D7" w:rsidR="007A0499" w:rsidRDefault="007A0499" w:rsidP="007A0499">
            <w:r>
              <w:t>Critères d’acceptabilité</w:t>
            </w:r>
          </w:p>
        </w:tc>
        <w:tc>
          <w:tcPr>
            <w:tcW w:w="7796" w:type="dxa"/>
          </w:tcPr>
          <w:p w14:paraId="7FC54D73" w14:textId="02CA9A75" w:rsidR="007A0499" w:rsidRDefault="007A0499" w:rsidP="007A0499">
            <w:r>
              <w:t xml:space="preserve">La valeur de la pénombre ne doit pas varier de plus de 2 mm par rapport à la valeur de </w:t>
            </w:r>
            <w:proofErr w:type="spellStart"/>
            <w:r>
              <w:t>ref</w:t>
            </w:r>
            <w:proofErr w:type="spellEnd"/>
            <w:r>
              <w:t xml:space="preserve"> mesurée lors du CQI initial ou après une intervention importante</w:t>
            </w:r>
          </w:p>
        </w:tc>
      </w:tr>
      <w:tr w:rsidR="007A0499" w14:paraId="5ADF00FD" w14:textId="77777777" w:rsidTr="00E67E3C">
        <w:tc>
          <w:tcPr>
            <w:tcW w:w="10343" w:type="dxa"/>
            <w:gridSpan w:val="2"/>
          </w:tcPr>
          <w:p w14:paraId="60027F6A" w14:textId="0AD155C6" w:rsidR="007A0499" w:rsidRDefault="007A0499" w:rsidP="007A0499">
            <w:pPr>
              <w:jc w:val="center"/>
            </w:pPr>
            <w:r>
              <w:t>5.4.4 Stabilité de l’énergie</w:t>
            </w:r>
          </w:p>
        </w:tc>
      </w:tr>
      <w:tr w:rsidR="007A0499" w14:paraId="0C8F6F65" w14:textId="77777777" w:rsidTr="00E95AA7">
        <w:tc>
          <w:tcPr>
            <w:tcW w:w="2547" w:type="dxa"/>
          </w:tcPr>
          <w:p w14:paraId="4638CB61" w14:textId="371EF6DE" w:rsidR="007A0499" w:rsidRDefault="007A0499" w:rsidP="007A0499">
            <w:r>
              <w:t>Périodicité</w:t>
            </w:r>
          </w:p>
        </w:tc>
        <w:tc>
          <w:tcPr>
            <w:tcW w:w="7796" w:type="dxa"/>
          </w:tcPr>
          <w:p w14:paraId="1538C785" w14:textId="77777777" w:rsidR="007A0499" w:rsidRDefault="007A0499" w:rsidP="007A0499">
            <w:pPr>
              <w:pStyle w:val="Paragraphedeliste"/>
              <w:numPr>
                <w:ilvl w:val="0"/>
                <w:numId w:val="1"/>
              </w:numPr>
            </w:pPr>
            <w:r>
              <w:t xml:space="preserve">Contrôle de </w:t>
            </w:r>
            <w:proofErr w:type="spellStart"/>
            <w:r>
              <w:t>ref</w:t>
            </w:r>
            <w:proofErr w:type="spellEnd"/>
            <w:r>
              <w:t xml:space="preserve"> annuel</w:t>
            </w:r>
          </w:p>
          <w:p w14:paraId="0BDF320A" w14:textId="7CFD7011" w:rsidR="007A0499" w:rsidRDefault="007A0499" w:rsidP="007A0499">
            <w:pPr>
              <w:pStyle w:val="Paragraphedeliste"/>
              <w:numPr>
                <w:ilvl w:val="0"/>
                <w:numId w:val="1"/>
              </w:numPr>
            </w:pPr>
            <w:r>
              <w:t>Contrôle de constance mensuel</w:t>
            </w:r>
          </w:p>
        </w:tc>
      </w:tr>
      <w:tr w:rsidR="007A0499" w14:paraId="1B3BE6FE" w14:textId="77777777" w:rsidTr="00E95AA7">
        <w:tc>
          <w:tcPr>
            <w:tcW w:w="2547" w:type="dxa"/>
          </w:tcPr>
          <w:p w14:paraId="48885EB2" w14:textId="03DAEA04" w:rsidR="007A0499" w:rsidRDefault="007A0499" w:rsidP="007A0499">
            <w:r>
              <w:t>Modalités du contrôle</w:t>
            </w:r>
          </w:p>
        </w:tc>
        <w:tc>
          <w:tcPr>
            <w:tcW w:w="7796" w:type="dxa"/>
          </w:tcPr>
          <w:p w14:paraId="32A5BC77" w14:textId="42D4CB60" w:rsidR="007A0499" w:rsidRDefault="007A0499" w:rsidP="007A0499">
            <w:r>
              <w:t xml:space="preserve">Contrôle de </w:t>
            </w:r>
            <w:proofErr w:type="spellStart"/>
            <w:r>
              <w:t>ref</w:t>
            </w:r>
            <w:proofErr w:type="spellEnd"/>
            <w:r>
              <w:t> : Déterminer l’indice de stabilité de l’énergie en régime électrons, au choix de l’exploitant. Cet indice peut être le r</w:t>
            </w:r>
            <w:r w:rsidR="00B55722">
              <w:t>apport J2/J1 ou R50. Dans le ca</w:t>
            </w:r>
            <w:r>
              <w:t>s</w:t>
            </w:r>
            <w:r w:rsidR="00B55722">
              <w:t xml:space="preserve"> </w:t>
            </w:r>
            <w:r>
              <w:t>où un autre type d’indice est choisi, la méthodologie adoptée devra être justifiée et pertinente au regard du critère d’acceptabilité défini au point 5.4.4.3</w:t>
            </w:r>
          </w:p>
        </w:tc>
      </w:tr>
      <w:tr w:rsidR="007A0499" w14:paraId="0D7291BF" w14:textId="77777777" w:rsidTr="00E95AA7">
        <w:tc>
          <w:tcPr>
            <w:tcW w:w="2547" w:type="dxa"/>
          </w:tcPr>
          <w:p w14:paraId="0E713C9D" w14:textId="29931F3D" w:rsidR="007A0499" w:rsidRDefault="007A0499" w:rsidP="007A0499">
            <w:r>
              <w:t>Critères d’acceptabilité</w:t>
            </w:r>
          </w:p>
        </w:tc>
        <w:tc>
          <w:tcPr>
            <w:tcW w:w="7796" w:type="dxa"/>
          </w:tcPr>
          <w:p w14:paraId="292F0F81" w14:textId="38314E87" w:rsidR="007A0499" w:rsidRDefault="007A0499" w:rsidP="007A0499">
            <w:r>
              <w:t xml:space="preserve">Les variations de l’indice de </w:t>
            </w:r>
            <w:r w:rsidR="00B55722">
              <w:t>s</w:t>
            </w:r>
            <w:r>
              <w:t xml:space="preserve">tabilité de l’énergie en régime électrons choisi doivent rester inférieures à </w:t>
            </w:r>
            <m:oMath>
              <m:r>
                <w:rPr>
                  <w:rFonts w:ascii="Cambria Math" w:hAnsi="Cambria Math"/>
                </w:rPr>
                <m:t>±</m:t>
              </m:r>
            </m:oMath>
            <w:r>
              <w:rPr>
                <w:rFonts w:eastAsiaTheme="minorEastAsia"/>
              </w:rPr>
              <w:t xml:space="preserve"> 4 % ou </w:t>
            </w:r>
            <m:oMath>
              <m:r>
                <w:rPr>
                  <w:rFonts w:ascii="Cambria Math" w:eastAsiaTheme="minorEastAsia" w:hAnsi="Cambria Math"/>
                </w:rPr>
                <m:t>±</m:t>
              </m:r>
            </m:oMath>
            <w:r>
              <w:rPr>
                <w:rFonts w:eastAsiaTheme="minorEastAsia"/>
              </w:rPr>
              <w:t xml:space="preserve"> 1 mm par rapport aux valeurs</w:t>
            </w:r>
            <w:r w:rsidR="00B55722">
              <w:rPr>
                <w:rFonts w:eastAsiaTheme="minorEastAsia"/>
              </w:rPr>
              <w:t xml:space="preserve"> de </w:t>
            </w:r>
            <w:proofErr w:type="spellStart"/>
            <w:r w:rsidR="00B55722">
              <w:rPr>
                <w:rFonts w:eastAsiaTheme="minorEastAsia"/>
              </w:rPr>
              <w:t>ref</w:t>
            </w:r>
            <w:proofErr w:type="spellEnd"/>
            <w:r w:rsidR="00B55722">
              <w:rPr>
                <w:rFonts w:eastAsiaTheme="minorEastAsia"/>
              </w:rPr>
              <w:t xml:space="preserve"> déterminées lors du CQI initial pour toutes les énergies</w:t>
            </w:r>
          </w:p>
        </w:tc>
      </w:tr>
      <w:tr w:rsidR="00CD76E9" w14:paraId="5E810D71" w14:textId="77777777" w:rsidTr="00E67E3C">
        <w:tc>
          <w:tcPr>
            <w:tcW w:w="10343" w:type="dxa"/>
            <w:gridSpan w:val="2"/>
          </w:tcPr>
          <w:p w14:paraId="26A68D22" w14:textId="0D324C08" w:rsidR="00CD76E9" w:rsidRPr="00CD76E9" w:rsidRDefault="00CD76E9" w:rsidP="00CD76E9">
            <w:pPr>
              <w:jc w:val="center"/>
              <w:rPr>
                <w:b/>
              </w:rPr>
            </w:pPr>
            <w:r>
              <w:rPr>
                <w:b/>
              </w:rPr>
              <w:t>5.5 Contrôle du débit de référence</w:t>
            </w:r>
          </w:p>
        </w:tc>
      </w:tr>
      <w:tr w:rsidR="00CD76E9" w14:paraId="24216EE1" w14:textId="77777777" w:rsidTr="00E95AA7">
        <w:tc>
          <w:tcPr>
            <w:tcW w:w="2547" w:type="dxa"/>
          </w:tcPr>
          <w:p w14:paraId="48D7D21A" w14:textId="5C04ED21" w:rsidR="00CD76E9" w:rsidRDefault="00CD76E9" w:rsidP="007A0499">
            <w:r>
              <w:t>Périodicité</w:t>
            </w:r>
          </w:p>
        </w:tc>
        <w:tc>
          <w:tcPr>
            <w:tcW w:w="7796" w:type="dxa"/>
          </w:tcPr>
          <w:p w14:paraId="1AA41760" w14:textId="5B83F7B0" w:rsidR="00CD76E9" w:rsidRDefault="00CD76E9" w:rsidP="007A0499">
            <w:r>
              <w:t>Annuelle</w:t>
            </w:r>
          </w:p>
        </w:tc>
      </w:tr>
      <w:tr w:rsidR="00CD76E9" w14:paraId="6F8D746A" w14:textId="77777777" w:rsidTr="00E95AA7">
        <w:tc>
          <w:tcPr>
            <w:tcW w:w="2547" w:type="dxa"/>
          </w:tcPr>
          <w:p w14:paraId="63BA6BAA" w14:textId="3B64DB2F" w:rsidR="00CD76E9" w:rsidRDefault="00CD76E9" w:rsidP="00CD76E9">
            <w:r>
              <w:t>Critères d’acceptabilité</w:t>
            </w:r>
          </w:p>
        </w:tc>
        <w:tc>
          <w:tcPr>
            <w:tcW w:w="7796" w:type="dxa"/>
          </w:tcPr>
          <w:p w14:paraId="7DD38F40" w14:textId="02CB8DCC" w:rsidR="00CD76E9" w:rsidRPr="00CD76E9" w:rsidRDefault="00CD76E9" w:rsidP="00CD76E9">
            <w:pPr>
              <w:autoSpaceDE w:val="0"/>
              <w:autoSpaceDN w:val="0"/>
              <w:adjustRightInd w:val="0"/>
              <w:rPr>
                <w:rFonts w:ascii="Calibri" w:hAnsi="Calibri" w:cs="Calibri"/>
                <w:color w:val="2C2A2A"/>
              </w:rPr>
            </w:pPr>
            <w:r w:rsidRPr="00CD76E9">
              <w:rPr>
                <w:rFonts w:ascii="Calibri" w:hAnsi="Calibri" w:cs="Calibri"/>
                <w:color w:val="2C2A2A"/>
              </w:rPr>
              <w:t>Pour toutes les énergies, le débit de dose absorbé dans l’eau est mesuré dans les conditions de référence</w:t>
            </w:r>
            <w:r>
              <w:rPr>
                <w:rFonts w:ascii="Calibri" w:hAnsi="Calibri" w:cs="Calibri"/>
                <w:color w:val="2C2A2A"/>
              </w:rPr>
              <w:t xml:space="preserve"> </w:t>
            </w:r>
            <w:r w:rsidRPr="00CD76E9">
              <w:rPr>
                <w:rFonts w:ascii="Calibri" w:hAnsi="Calibri" w:cs="Calibri"/>
                <w:color w:val="2C2A2A"/>
              </w:rPr>
              <w:t>définies au point 4.10 de la présente annexe.</w:t>
            </w:r>
          </w:p>
          <w:p w14:paraId="3B8D7E67" w14:textId="106624CB" w:rsidR="00CD76E9" w:rsidRPr="00CD76E9" w:rsidRDefault="00CD76E9" w:rsidP="00CD76E9">
            <w:pPr>
              <w:autoSpaceDE w:val="0"/>
              <w:autoSpaceDN w:val="0"/>
              <w:adjustRightInd w:val="0"/>
              <w:rPr>
                <w:rFonts w:ascii="Calibri" w:hAnsi="Calibri" w:cs="Calibri"/>
                <w:color w:val="2C2A2A"/>
              </w:rPr>
            </w:pPr>
            <w:r w:rsidRPr="00CD76E9">
              <w:rPr>
                <w:rFonts w:ascii="Calibri" w:hAnsi="Calibri" w:cs="Calibri"/>
                <w:color w:val="2C2A2A"/>
              </w:rPr>
              <w:lastRenderedPageBreak/>
              <w:t>La dose absorbée mesurée dans les conditions autres que les conditions de référence est exprimée en valeur</w:t>
            </w:r>
            <w:r>
              <w:rPr>
                <w:rFonts w:ascii="Calibri" w:hAnsi="Calibri" w:cs="Calibri"/>
                <w:color w:val="2C2A2A"/>
              </w:rPr>
              <w:t xml:space="preserve"> </w:t>
            </w:r>
            <w:r w:rsidRPr="00CD76E9">
              <w:rPr>
                <w:rFonts w:ascii="Calibri" w:hAnsi="Calibri" w:cs="Calibri"/>
                <w:color w:val="2C2A2A"/>
              </w:rPr>
              <w:t>relative de la valeur de référence pour toutes les combinaisons utilisées (énergie, taille de champ, distance,</w:t>
            </w:r>
            <w:r>
              <w:rPr>
                <w:rFonts w:ascii="Calibri" w:hAnsi="Calibri" w:cs="Calibri"/>
                <w:color w:val="2C2A2A"/>
              </w:rPr>
              <w:t xml:space="preserve"> </w:t>
            </w:r>
            <w:r w:rsidRPr="00CD76E9">
              <w:rPr>
                <w:rFonts w:ascii="Calibri" w:hAnsi="Calibri" w:cs="Calibri"/>
                <w:color w:val="2C2A2A"/>
              </w:rPr>
              <w:t>modificateurs de faisceaux, etc.).</w:t>
            </w:r>
          </w:p>
          <w:p w14:paraId="6209205F" w14:textId="46BD2727" w:rsidR="00CD76E9" w:rsidRPr="00CD76E9" w:rsidRDefault="00CD76E9" w:rsidP="00CD76E9">
            <w:pPr>
              <w:autoSpaceDE w:val="0"/>
              <w:autoSpaceDN w:val="0"/>
              <w:adjustRightInd w:val="0"/>
              <w:rPr>
                <w:rFonts w:ascii="Calibri" w:hAnsi="Calibri" w:cs="Calibri"/>
                <w:color w:val="2C2A2A"/>
              </w:rPr>
            </w:pPr>
            <w:r w:rsidRPr="00CD76E9">
              <w:rPr>
                <w:rFonts w:ascii="Calibri" w:hAnsi="Calibri" w:cs="Calibri"/>
                <w:color w:val="2C2A2A"/>
              </w:rPr>
              <w:t>En cas d’écart avec les valeurs de référence, si le faisceau concerné ne peut être corrigé, tous les documents</w:t>
            </w:r>
            <w:r>
              <w:rPr>
                <w:rFonts w:ascii="Calibri" w:hAnsi="Calibri" w:cs="Calibri"/>
                <w:color w:val="2C2A2A"/>
              </w:rPr>
              <w:t xml:space="preserve"> </w:t>
            </w:r>
            <w:r w:rsidRPr="00CD76E9">
              <w:rPr>
                <w:rFonts w:ascii="Calibri" w:hAnsi="Calibri" w:cs="Calibri"/>
                <w:color w:val="2C2A2A"/>
              </w:rPr>
              <w:t>et/ou le paramétrage des logiciels utilisés pour les calculs de distribution de doses doivent être modifiés pour</w:t>
            </w:r>
          </w:p>
          <w:p w14:paraId="01C14C01" w14:textId="132BBAB3" w:rsidR="00CD76E9" w:rsidRDefault="00CD76E9" w:rsidP="00CD76E9">
            <w:r w:rsidRPr="00CD76E9">
              <w:rPr>
                <w:rFonts w:ascii="Calibri" w:hAnsi="Calibri" w:cs="Calibri"/>
                <w:color w:val="2C2A2A"/>
              </w:rPr>
              <w:t>tenir compte des nouvelles valeurs.</w:t>
            </w:r>
          </w:p>
        </w:tc>
      </w:tr>
      <w:tr w:rsidR="004F1714" w14:paraId="49EB2813" w14:textId="77777777" w:rsidTr="00E67E3C">
        <w:tc>
          <w:tcPr>
            <w:tcW w:w="10343" w:type="dxa"/>
            <w:gridSpan w:val="2"/>
          </w:tcPr>
          <w:p w14:paraId="2C1C04A6" w14:textId="4A79BF34" w:rsidR="004F1714" w:rsidRPr="004F1714" w:rsidRDefault="004F1714" w:rsidP="004F1714">
            <w:pPr>
              <w:jc w:val="center"/>
              <w:rPr>
                <w:b/>
              </w:rPr>
            </w:pPr>
            <w:r>
              <w:rPr>
                <w:b/>
              </w:rPr>
              <w:lastRenderedPageBreak/>
              <w:t>5.6 Système de surveillance de la dose</w:t>
            </w:r>
          </w:p>
        </w:tc>
      </w:tr>
      <w:tr w:rsidR="004F1714" w14:paraId="16DAF915" w14:textId="77777777" w:rsidTr="00E67E3C">
        <w:tc>
          <w:tcPr>
            <w:tcW w:w="10343" w:type="dxa"/>
            <w:gridSpan w:val="2"/>
          </w:tcPr>
          <w:p w14:paraId="40870516" w14:textId="44ECC1CB" w:rsidR="004F1714" w:rsidRDefault="004F1714" w:rsidP="004F1714">
            <w:pPr>
              <w:jc w:val="center"/>
            </w:pPr>
            <w:r>
              <w:t>5.6.1 Moniteur (accélérateurs)</w:t>
            </w:r>
          </w:p>
        </w:tc>
      </w:tr>
      <w:tr w:rsidR="004F1714" w14:paraId="7518F47F" w14:textId="77777777" w:rsidTr="00E67E3C">
        <w:tc>
          <w:tcPr>
            <w:tcW w:w="10343" w:type="dxa"/>
            <w:gridSpan w:val="2"/>
          </w:tcPr>
          <w:p w14:paraId="37849A1C" w14:textId="2C8E5CBD" w:rsidR="004F1714" w:rsidRPr="004F1714" w:rsidRDefault="004F1714" w:rsidP="004F1714">
            <w:pPr>
              <w:jc w:val="center"/>
              <w:rPr>
                <w:i/>
              </w:rPr>
            </w:pPr>
            <w:r w:rsidRPr="004F1714">
              <w:rPr>
                <w:i/>
              </w:rPr>
              <w:t>5.6.1.1 Cohérence des chaînes primaire et secondaire</w:t>
            </w:r>
          </w:p>
        </w:tc>
      </w:tr>
      <w:tr w:rsidR="004F1714" w14:paraId="17D3075B" w14:textId="77777777" w:rsidTr="00E95AA7">
        <w:tc>
          <w:tcPr>
            <w:tcW w:w="2547" w:type="dxa"/>
          </w:tcPr>
          <w:p w14:paraId="42307C15" w14:textId="09E92545" w:rsidR="004F1714" w:rsidRDefault="004F1714" w:rsidP="00CD76E9">
            <w:r>
              <w:t>Périodicité</w:t>
            </w:r>
          </w:p>
        </w:tc>
        <w:tc>
          <w:tcPr>
            <w:tcW w:w="7796" w:type="dxa"/>
          </w:tcPr>
          <w:p w14:paraId="59150E50" w14:textId="50C53B0B" w:rsidR="004F1714" w:rsidRDefault="004F1714" w:rsidP="00CD76E9">
            <w:r>
              <w:t>Mensuelle</w:t>
            </w:r>
          </w:p>
        </w:tc>
      </w:tr>
      <w:tr w:rsidR="004F1714" w14:paraId="529F2CD5" w14:textId="77777777" w:rsidTr="00E95AA7">
        <w:tc>
          <w:tcPr>
            <w:tcW w:w="2547" w:type="dxa"/>
          </w:tcPr>
          <w:p w14:paraId="38FFEBB0" w14:textId="02293514" w:rsidR="004F1714" w:rsidRDefault="004F1714" w:rsidP="00CD76E9">
            <w:r>
              <w:t>Critères d’acceptabilité</w:t>
            </w:r>
          </w:p>
        </w:tc>
        <w:tc>
          <w:tcPr>
            <w:tcW w:w="7796" w:type="dxa"/>
          </w:tcPr>
          <w:p w14:paraId="7964C164" w14:textId="77777777" w:rsidR="004F1714" w:rsidRDefault="004F1714" w:rsidP="004F1714">
            <w:pPr>
              <w:pStyle w:val="Paragraphedeliste"/>
              <w:numPr>
                <w:ilvl w:val="0"/>
                <w:numId w:val="1"/>
              </w:numPr>
            </w:pPr>
            <w:r>
              <w:t>L’écart entre les valeurs indiquées par les systèmes primaire et secondaire d’affichage des détecteurs de rayonnement situés à l’intérieur de la tête d’irradiation ne doit pas dépasser 10 %,</w:t>
            </w:r>
          </w:p>
          <w:p w14:paraId="4D01A18B" w14:textId="0E239476" w:rsidR="004F1714" w:rsidRDefault="004F1714" w:rsidP="004F1714">
            <w:pPr>
              <w:pStyle w:val="Paragraphedeliste"/>
              <w:numPr>
                <w:ilvl w:val="0"/>
                <w:numId w:val="1"/>
              </w:numPr>
            </w:pPr>
            <w:r>
              <w:t>Le dépassement de cette valeur nécessite l’arrêt de l’exploitation de l’accélérateur et le signalement à l’ANSM</w:t>
            </w:r>
          </w:p>
        </w:tc>
      </w:tr>
      <w:tr w:rsidR="004F1714" w14:paraId="30FB75C0" w14:textId="77777777" w:rsidTr="00E67E3C">
        <w:tc>
          <w:tcPr>
            <w:tcW w:w="10343" w:type="dxa"/>
            <w:gridSpan w:val="2"/>
          </w:tcPr>
          <w:p w14:paraId="49071D4A" w14:textId="1476AAA0" w:rsidR="004F1714" w:rsidRPr="004F1714" w:rsidRDefault="004F1714" w:rsidP="004F1714">
            <w:pPr>
              <w:jc w:val="center"/>
              <w:rPr>
                <w:i/>
              </w:rPr>
            </w:pPr>
            <w:r>
              <w:rPr>
                <w:i/>
              </w:rPr>
              <w:t>5.6.1.2 Reproductibilité des unités moniteur</w:t>
            </w:r>
          </w:p>
        </w:tc>
      </w:tr>
      <w:tr w:rsidR="004F1714" w14:paraId="1B21A73C" w14:textId="77777777" w:rsidTr="00E95AA7">
        <w:tc>
          <w:tcPr>
            <w:tcW w:w="2547" w:type="dxa"/>
          </w:tcPr>
          <w:p w14:paraId="12DD8978" w14:textId="6EE3BDB5" w:rsidR="004F1714" w:rsidRDefault="004F1714" w:rsidP="00CD76E9">
            <w:r>
              <w:t>Périodicité</w:t>
            </w:r>
          </w:p>
        </w:tc>
        <w:tc>
          <w:tcPr>
            <w:tcW w:w="7796" w:type="dxa"/>
          </w:tcPr>
          <w:p w14:paraId="57EF872D" w14:textId="31AA6099" w:rsidR="004F1714" w:rsidRDefault="004F1714" w:rsidP="00CD76E9">
            <w:r>
              <w:t>Semestrielle</w:t>
            </w:r>
          </w:p>
        </w:tc>
      </w:tr>
      <w:tr w:rsidR="004F1714" w14:paraId="7DD2AF26" w14:textId="77777777" w:rsidTr="00E95AA7">
        <w:tc>
          <w:tcPr>
            <w:tcW w:w="2547" w:type="dxa"/>
          </w:tcPr>
          <w:p w14:paraId="17FBD691" w14:textId="69727042" w:rsidR="004F1714" w:rsidRDefault="004F1714" w:rsidP="00CD76E9">
            <w:r>
              <w:t>Modalités du contrôle</w:t>
            </w:r>
          </w:p>
        </w:tc>
        <w:tc>
          <w:tcPr>
            <w:tcW w:w="7796" w:type="dxa"/>
          </w:tcPr>
          <w:p w14:paraId="336326C2" w14:textId="55984AAD" w:rsidR="004F1714" w:rsidRDefault="004F1714" w:rsidP="004F1714">
            <w:r>
              <w:t xml:space="preserve">Contrôler la reproductibilité des unités moniteurs en calculant le coefficient de variation à partir d’une dizaine de mesures effectuées pour une énergie en régime photons et une énergie en régime électrons dans la gamme de débits de dose couramment utilisés, à la DNT, avec le bras et le collimateur à 0° et un champ de </w:t>
            </w:r>
            <w:proofErr w:type="spellStart"/>
            <w:r>
              <w:t>dim</w:t>
            </w:r>
            <w:proofErr w:type="spellEnd"/>
            <w:r>
              <w:t xml:space="preserve"> suffisamment grandes</w:t>
            </w:r>
          </w:p>
        </w:tc>
      </w:tr>
      <w:tr w:rsidR="004F1714" w14:paraId="2E1B4D23" w14:textId="77777777" w:rsidTr="00E95AA7">
        <w:tc>
          <w:tcPr>
            <w:tcW w:w="2547" w:type="dxa"/>
          </w:tcPr>
          <w:p w14:paraId="5E3558D7" w14:textId="4E75BDF7" w:rsidR="004F1714" w:rsidRDefault="004F1714" w:rsidP="00CD76E9">
            <w:r>
              <w:t>Critères d’acceptabilité</w:t>
            </w:r>
          </w:p>
        </w:tc>
        <w:tc>
          <w:tcPr>
            <w:tcW w:w="7796" w:type="dxa"/>
          </w:tcPr>
          <w:p w14:paraId="7DD616AC" w14:textId="77777777" w:rsidR="004F1714" w:rsidRDefault="004F1714" w:rsidP="004F1714">
            <w:pPr>
              <w:pStyle w:val="Paragraphedeliste"/>
              <w:numPr>
                <w:ilvl w:val="0"/>
                <w:numId w:val="1"/>
              </w:numPr>
            </w:pPr>
            <w:r>
              <w:t>La tolérance sur le coefficient de variation est de 0,5 %</w:t>
            </w:r>
          </w:p>
          <w:p w14:paraId="2049D39D" w14:textId="77777777" w:rsidR="004F1714" w:rsidRDefault="004F1714" w:rsidP="004F1714">
            <w:pPr>
              <w:pStyle w:val="Paragraphedeliste"/>
              <w:numPr>
                <w:ilvl w:val="0"/>
                <w:numId w:val="1"/>
              </w:numPr>
            </w:pPr>
            <w:r>
              <w:t>Un dépassement de plus de 2 fois cette valeur nécessite un deuxième contrôle à l’aide d’un système dosimétrique différent,</w:t>
            </w:r>
          </w:p>
          <w:p w14:paraId="3F9E11BD" w14:textId="2AE7F769" w:rsidR="004F1714" w:rsidRDefault="003F1EA3" w:rsidP="004F1714">
            <w:pPr>
              <w:pStyle w:val="Paragraphedeliste"/>
              <w:numPr>
                <w:ilvl w:val="0"/>
                <w:numId w:val="1"/>
              </w:numPr>
            </w:pPr>
            <w:r>
              <w:t>Un dépassement de plus de 2 fois cette valeur lors du 2</w:t>
            </w:r>
            <w:r w:rsidRPr="003F1EA3">
              <w:rPr>
                <w:vertAlign w:val="superscript"/>
              </w:rPr>
              <w:t>ème</w:t>
            </w:r>
            <w:r>
              <w:t xml:space="preserve"> contrôle nécessite l’arrêt de l’accélérateur et le signalement à l’ANSM</w:t>
            </w:r>
          </w:p>
        </w:tc>
      </w:tr>
      <w:tr w:rsidR="003F1EA3" w14:paraId="4D8190D0" w14:textId="77777777" w:rsidTr="00E67E3C">
        <w:tc>
          <w:tcPr>
            <w:tcW w:w="10343" w:type="dxa"/>
            <w:gridSpan w:val="2"/>
          </w:tcPr>
          <w:p w14:paraId="70001063" w14:textId="2A42215F" w:rsidR="003F1EA3" w:rsidRPr="003F1EA3" w:rsidRDefault="003F1EA3" w:rsidP="003F1EA3">
            <w:pPr>
              <w:jc w:val="center"/>
              <w:rPr>
                <w:i/>
              </w:rPr>
            </w:pPr>
            <w:r>
              <w:rPr>
                <w:i/>
              </w:rPr>
              <w:t>5.6.1.3 Proportionnalité des unités moniteurs</w:t>
            </w:r>
          </w:p>
        </w:tc>
      </w:tr>
      <w:tr w:rsidR="004F1714" w14:paraId="009D44DF" w14:textId="77777777" w:rsidTr="00E95AA7">
        <w:tc>
          <w:tcPr>
            <w:tcW w:w="2547" w:type="dxa"/>
          </w:tcPr>
          <w:p w14:paraId="4D8F9C95" w14:textId="4CBC9D76" w:rsidR="004F1714" w:rsidRDefault="003F1EA3" w:rsidP="00CD76E9">
            <w:r>
              <w:t>Périodicité</w:t>
            </w:r>
          </w:p>
        </w:tc>
        <w:tc>
          <w:tcPr>
            <w:tcW w:w="7796" w:type="dxa"/>
          </w:tcPr>
          <w:p w14:paraId="1976E0DD" w14:textId="6CD2E83C" w:rsidR="004F1714" w:rsidRDefault="003F1EA3" w:rsidP="00CD76E9">
            <w:r>
              <w:t>Semestrielle</w:t>
            </w:r>
          </w:p>
        </w:tc>
      </w:tr>
      <w:tr w:rsidR="004F1714" w14:paraId="720D5DE3" w14:textId="77777777" w:rsidTr="00E95AA7">
        <w:tc>
          <w:tcPr>
            <w:tcW w:w="2547" w:type="dxa"/>
          </w:tcPr>
          <w:p w14:paraId="18DC7B9E" w14:textId="66CEC7A0" w:rsidR="004F1714" w:rsidRDefault="003F1EA3" w:rsidP="00CD76E9">
            <w:r>
              <w:t>Modalités du contrôle</w:t>
            </w:r>
          </w:p>
        </w:tc>
        <w:tc>
          <w:tcPr>
            <w:tcW w:w="7796" w:type="dxa"/>
          </w:tcPr>
          <w:p w14:paraId="5D7F2723" w14:textId="696CAFD6" w:rsidR="004F1714" w:rsidRDefault="003F1EA3" w:rsidP="00CD76E9">
            <w:r>
              <w:t>Contrôler, pour toutes les combinaisons énergies/débit utilisées, la proportionnalité des unités moniteur avec la dose, en calculant, pour au moins 4 points de la gamme de dose de 0,25 Gy à 3 Gy minimum, ainsi que pour un point à la dose maximale utilisée en routine  clinique, le facteur de proportionnalité, bras et collimateur étant à 0°</w:t>
            </w:r>
          </w:p>
        </w:tc>
      </w:tr>
      <w:tr w:rsidR="004F1714" w14:paraId="157D10C4" w14:textId="77777777" w:rsidTr="00E95AA7">
        <w:tc>
          <w:tcPr>
            <w:tcW w:w="2547" w:type="dxa"/>
          </w:tcPr>
          <w:p w14:paraId="41ABD197" w14:textId="09A2857A" w:rsidR="004F1714" w:rsidRDefault="003F1EA3" w:rsidP="00CD76E9">
            <w:r>
              <w:t>Critères d’acceptabilité</w:t>
            </w:r>
          </w:p>
        </w:tc>
        <w:tc>
          <w:tcPr>
            <w:tcW w:w="7796" w:type="dxa"/>
          </w:tcPr>
          <w:p w14:paraId="661610BA" w14:textId="77777777" w:rsidR="004F1714" w:rsidRPr="003F1EA3" w:rsidRDefault="003F1EA3" w:rsidP="003F1EA3">
            <w:pPr>
              <w:pStyle w:val="Paragraphedeliste"/>
              <w:numPr>
                <w:ilvl w:val="0"/>
                <w:numId w:val="1"/>
              </w:numPr>
            </w:pPr>
            <w:r>
              <w:t xml:space="preserve">La tolérance sur le facteur de proportionnalité est de </w:t>
            </w:r>
            <m:oMath>
              <m:r>
                <w:rPr>
                  <w:rFonts w:ascii="Cambria Math" w:hAnsi="Cambria Math"/>
                </w:rPr>
                <m:t>±</m:t>
              </m:r>
            </m:oMath>
            <w:r>
              <w:rPr>
                <w:rFonts w:eastAsiaTheme="minorEastAsia"/>
              </w:rPr>
              <w:t xml:space="preserve"> 1 % sur une gamme de dose de 0,25 à 3 Gy,</w:t>
            </w:r>
          </w:p>
          <w:p w14:paraId="22D74006" w14:textId="77777777" w:rsidR="003F1EA3" w:rsidRPr="003F1EA3" w:rsidRDefault="003F1EA3" w:rsidP="003F1EA3">
            <w:pPr>
              <w:pStyle w:val="Paragraphedeliste"/>
              <w:numPr>
                <w:ilvl w:val="0"/>
                <w:numId w:val="1"/>
              </w:numPr>
            </w:pPr>
            <w:r>
              <w:rPr>
                <w:rFonts w:eastAsiaTheme="minorEastAsia"/>
              </w:rPr>
              <w:t>Un dépassement de plus de 2 fois cette valeur nécessite un 2</w:t>
            </w:r>
            <w:r w:rsidRPr="003F1EA3">
              <w:rPr>
                <w:rFonts w:eastAsiaTheme="minorEastAsia"/>
                <w:vertAlign w:val="superscript"/>
              </w:rPr>
              <w:t>ème</w:t>
            </w:r>
            <w:r>
              <w:rPr>
                <w:rFonts w:eastAsiaTheme="minorEastAsia"/>
              </w:rPr>
              <w:t xml:space="preserve"> contrôle à l’aide d’un système dosimétrique différent,</w:t>
            </w:r>
          </w:p>
          <w:p w14:paraId="779475EE" w14:textId="437827FB" w:rsidR="003F1EA3" w:rsidRDefault="003F1EA3" w:rsidP="003F1EA3">
            <w:pPr>
              <w:pStyle w:val="Paragraphedeliste"/>
              <w:numPr>
                <w:ilvl w:val="0"/>
                <w:numId w:val="1"/>
              </w:numPr>
            </w:pPr>
            <w:r>
              <w:t>Un dépassement de plus de 2 fois cette valeur lors du 2</w:t>
            </w:r>
            <w:r w:rsidRPr="003F1EA3">
              <w:rPr>
                <w:vertAlign w:val="superscript"/>
              </w:rPr>
              <w:t>ème</w:t>
            </w:r>
            <w:r>
              <w:t xml:space="preserve"> contrôle nécessite l’arrêt de l’accélérateur et le signalement à l’ANSM</w:t>
            </w:r>
          </w:p>
        </w:tc>
      </w:tr>
      <w:tr w:rsidR="003F1EA3" w14:paraId="5AFF39C1" w14:textId="77777777" w:rsidTr="00E67E3C">
        <w:tc>
          <w:tcPr>
            <w:tcW w:w="10343" w:type="dxa"/>
            <w:gridSpan w:val="2"/>
          </w:tcPr>
          <w:p w14:paraId="76CE14C1" w14:textId="5E176804" w:rsidR="003F1EA3" w:rsidRPr="003F1EA3" w:rsidRDefault="003F1EA3" w:rsidP="003F1EA3">
            <w:pPr>
              <w:jc w:val="center"/>
              <w:rPr>
                <w:i/>
              </w:rPr>
            </w:pPr>
            <w:r>
              <w:rPr>
                <w:i/>
              </w:rPr>
              <w:t>5.6.1.4 Stabilité de l’étalonnage de chaque faisceau</w:t>
            </w:r>
          </w:p>
        </w:tc>
      </w:tr>
      <w:tr w:rsidR="004F1714" w14:paraId="141AF194" w14:textId="77777777" w:rsidTr="00E95AA7">
        <w:tc>
          <w:tcPr>
            <w:tcW w:w="2547" w:type="dxa"/>
          </w:tcPr>
          <w:p w14:paraId="278158A0" w14:textId="1258AD65" w:rsidR="004F1714" w:rsidRDefault="003F1EA3" w:rsidP="00CD76E9">
            <w:r>
              <w:t>Périodicité</w:t>
            </w:r>
          </w:p>
        </w:tc>
        <w:tc>
          <w:tcPr>
            <w:tcW w:w="7796" w:type="dxa"/>
          </w:tcPr>
          <w:p w14:paraId="6EF3FE5E" w14:textId="77777777" w:rsidR="004F1714" w:rsidRDefault="003F1EA3" w:rsidP="003F1EA3">
            <w:pPr>
              <w:pStyle w:val="Paragraphedeliste"/>
              <w:numPr>
                <w:ilvl w:val="0"/>
                <w:numId w:val="1"/>
              </w:numPr>
            </w:pPr>
            <w:r>
              <w:t xml:space="preserve">Contrôle de </w:t>
            </w:r>
            <w:proofErr w:type="spellStart"/>
            <w:r>
              <w:t>ref</w:t>
            </w:r>
            <w:proofErr w:type="spellEnd"/>
            <w:r>
              <w:t xml:space="preserve">, dans les conditions de </w:t>
            </w:r>
            <w:proofErr w:type="spellStart"/>
            <w:r>
              <w:t>ref</w:t>
            </w:r>
            <w:proofErr w:type="spellEnd"/>
            <w:r>
              <w:t xml:space="preserve"> annuel</w:t>
            </w:r>
          </w:p>
          <w:p w14:paraId="2831A886" w14:textId="259C7D20" w:rsidR="003F1EA3" w:rsidRDefault="003F1EA3" w:rsidP="003F1EA3">
            <w:pPr>
              <w:pStyle w:val="Paragraphedeliste"/>
              <w:numPr>
                <w:ilvl w:val="0"/>
                <w:numId w:val="1"/>
              </w:numPr>
            </w:pPr>
            <w:r>
              <w:t>Contrôle de constance quotidien pour les photons et hebdomadaire pour les électrons pour chaque énergie</w:t>
            </w:r>
          </w:p>
        </w:tc>
      </w:tr>
      <w:tr w:rsidR="00CD76E9" w14:paraId="3C612B83" w14:textId="77777777" w:rsidTr="00E95AA7">
        <w:tc>
          <w:tcPr>
            <w:tcW w:w="2547" w:type="dxa"/>
          </w:tcPr>
          <w:p w14:paraId="607BFB0F" w14:textId="7AA57331" w:rsidR="00CD76E9" w:rsidRDefault="007C1058" w:rsidP="00CD76E9">
            <w:r>
              <w:t>Critères d’acceptabilité</w:t>
            </w:r>
          </w:p>
        </w:tc>
        <w:tc>
          <w:tcPr>
            <w:tcW w:w="7796" w:type="dxa"/>
          </w:tcPr>
          <w:p w14:paraId="65F6D520" w14:textId="77777777" w:rsidR="00CD76E9" w:rsidRPr="007C1058" w:rsidRDefault="007C1058" w:rsidP="007C1058">
            <w:pPr>
              <w:pStyle w:val="Paragraphedeliste"/>
              <w:numPr>
                <w:ilvl w:val="0"/>
                <w:numId w:val="1"/>
              </w:numPr>
            </w:pPr>
            <w:r>
              <w:t xml:space="preserve">Pour chaque énergie, la réponse du moniteur pour une dose donnée ne doit pas varier de plus de </w:t>
            </w:r>
            <m:oMath>
              <m:r>
                <w:rPr>
                  <w:rFonts w:ascii="Cambria Math" w:hAnsi="Cambria Math"/>
                </w:rPr>
                <m:t>±</m:t>
              </m:r>
            </m:oMath>
            <w:r>
              <w:rPr>
                <w:rFonts w:eastAsiaTheme="minorEastAsia"/>
              </w:rPr>
              <w:t xml:space="preserve"> 2 % par rapport à la valeur de ref,</w:t>
            </w:r>
          </w:p>
          <w:p w14:paraId="4DAE975F" w14:textId="77777777" w:rsidR="007C1058" w:rsidRPr="007C1058" w:rsidRDefault="007C1058" w:rsidP="007C1058">
            <w:pPr>
              <w:pStyle w:val="Paragraphedeliste"/>
              <w:numPr>
                <w:ilvl w:val="0"/>
                <w:numId w:val="1"/>
              </w:numPr>
            </w:pPr>
            <w:r>
              <w:rPr>
                <w:rFonts w:eastAsiaTheme="minorEastAsia"/>
              </w:rPr>
              <w:t>Un dépassement compris entre – 4 % et – 2 % ou entre + 2 % et + 4 % nécessite un 2</w:t>
            </w:r>
            <w:r w:rsidRPr="007C1058">
              <w:rPr>
                <w:rFonts w:eastAsiaTheme="minorEastAsia"/>
                <w:vertAlign w:val="superscript"/>
              </w:rPr>
              <w:t>ème</w:t>
            </w:r>
            <w:r>
              <w:rPr>
                <w:rFonts w:eastAsiaTheme="minorEastAsia"/>
              </w:rPr>
              <w:t xml:space="preserve"> contrôle le lendemain avec le même dosimètre. Les mesures correctives nécessaires doivent être prises en cas de confirmation de ce dépassement,</w:t>
            </w:r>
          </w:p>
          <w:p w14:paraId="0F5B4B37" w14:textId="07449BA3" w:rsidR="007C1058" w:rsidRDefault="007C1058" w:rsidP="007C1058">
            <w:pPr>
              <w:pStyle w:val="Paragraphedeliste"/>
              <w:numPr>
                <w:ilvl w:val="0"/>
                <w:numId w:val="1"/>
              </w:numPr>
            </w:pPr>
            <w:r>
              <w:rPr>
                <w:rFonts w:eastAsiaTheme="minorEastAsia"/>
              </w:rPr>
              <w:t xml:space="preserve">Un dépassement de plus de </w:t>
            </w:r>
            <m:oMath>
              <m:r>
                <w:rPr>
                  <w:rFonts w:ascii="Cambria Math" w:eastAsiaTheme="minorEastAsia" w:hAnsi="Cambria Math"/>
                </w:rPr>
                <m:t>±</m:t>
              </m:r>
            </m:oMath>
            <w:r>
              <w:rPr>
                <w:rFonts w:eastAsiaTheme="minorEastAsia"/>
              </w:rPr>
              <w:t xml:space="preserve"> 4 % nécessite un deuxième contrôle immédiat avec un système dosimétrique différent. La confirmation du dépassement impose l’arrêt de l’accélérateur et signalement à l’ANSM.</w:t>
            </w:r>
          </w:p>
        </w:tc>
      </w:tr>
      <w:tr w:rsidR="007C1058" w14:paraId="27A725C2" w14:textId="77777777" w:rsidTr="00E67E3C">
        <w:tc>
          <w:tcPr>
            <w:tcW w:w="10343" w:type="dxa"/>
            <w:gridSpan w:val="2"/>
          </w:tcPr>
          <w:p w14:paraId="352A024D" w14:textId="79BC20F7" w:rsidR="007C1058" w:rsidRPr="007C1058" w:rsidRDefault="007C1058" w:rsidP="007C1058">
            <w:pPr>
              <w:jc w:val="center"/>
              <w:rPr>
                <w:b/>
              </w:rPr>
            </w:pPr>
            <w:r w:rsidRPr="007C1058">
              <w:rPr>
                <w:b/>
              </w:rPr>
              <w:t>5.7 Table de traitement</w:t>
            </w:r>
          </w:p>
        </w:tc>
      </w:tr>
      <w:tr w:rsidR="007C1058" w14:paraId="5AAF02A6" w14:textId="77777777" w:rsidTr="00E67E3C">
        <w:tc>
          <w:tcPr>
            <w:tcW w:w="10343" w:type="dxa"/>
            <w:gridSpan w:val="2"/>
          </w:tcPr>
          <w:p w14:paraId="1D5B82A0" w14:textId="064F02F1" w:rsidR="007C1058" w:rsidRDefault="007C1058" w:rsidP="007C1058">
            <w:pPr>
              <w:jc w:val="center"/>
            </w:pPr>
            <w:r>
              <w:lastRenderedPageBreak/>
              <w:t>5.7.1 Déplacement vertical</w:t>
            </w:r>
          </w:p>
        </w:tc>
      </w:tr>
      <w:tr w:rsidR="003F1EA3" w14:paraId="6040AFAC" w14:textId="77777777" w:rsidTr="00E95AA7">
        <w:tc>
          <w:tcPr>
            <w:tcW w:w="2547" w:type="dxa"/>
          </w:tcPr>
          <w:p w14:paraId="03132AD0" w14:textId="19F20FAA" w:rsidR="003F1EA3" w:rsidRDefault="007C1058" w:rsidP="00CD76E9">
            <w:r>
              <w:t>Périodicité</w:t>
            </w:r>
          </w:p>
        </w:tc>
        <w:tc>
          <w:tcPr>
            <w:tcW w:w="7796" w:type="dxa"/>
          </w:tcPr>
          <w:p w14:paraId="115E0DB6" w14:textId="4BFFB5D2" w:rsidR="003F1EA3" w:rsidRDefault="007C1058" w:rsidP="00CD76E9">
            <w:r>
              <w:t>Semestrielle</w:t>
            </w:r>
          </w:p>
        </w:tc>
      </w:tr>
      <w:tr w:rsidR="007C1058" w14:paraId="630700A7" w14:textId="77777777" w:rsidTr="00E95AA7">
        <w:tc>
          <w:tcPr>
            <w:tcW w:w="2547" w:type="dxa"/>
          </w:tcPr>
          <w:p w14:paraId="54103D18" w14:textId="72F598C5" w:rsidR="007C1058" w:rsidRDefault="007C1058" w:rsidP="007C1058">
            <w:r>
              <w:t>Critères d’acceptabilité</w:t>
            </w:r>
          </w:p>
        </w:tc>
        <w:tc>
          <w:tcPr>
            <w:tcW w:w="7796" w:type="dxa"/>
          </w:tcPr>
          <w:p w14:paraId="13F4E8E0" w14:textId="77777777" w:rsidR="007C1058" w:rsidRPr="007C1058" w:rsidRDefault="007C1058" w:rsidP="007C1058">
            <w:pPr>
              <w:pStyle w:val="Paragraphedeliste"/>
              <w:numPr>
                <w:ilvl w:val="0"/>
                <w:numId w:val="1"/>
              </w:numPr>
            </w:pPr>
            <w:r>
              <w:t xml:space="preserve">L’amplitude du déplacement horizontal de la projection lumineuse de l’axe du faisceau vertical ne doit pas excéder </w:t>
            </w:r>
            <m:oMath>
              <m:r>
                <w:rPr>
                  <w:rFonts w:ascii="Cambria Math" w:hAnsi="Cambria Math"/>
                </w:rPr>
                <m:t>±</m:t>
              </m:r>
            </m:oMath>
            <w:r>
              <w:rPr>
                <w:rFonts w:eastAsiaTheme="minorEastAsia"/>
              </w:rPr>
              <w:t xml:space="preserve"> 2 mm dans toutes les directions pour des hauteurs de table variant de + 20 cm à – 20 cm par rapport à l’isocentre</w:t>
            </w:r>
          </w:p>
          <w:p w14:paraId="0E04A3A7" w14:textId="4B1D941E" w:rsidR="007C1058" w:rsidRDefault="007C1058" w:rsidP="007C1058">
            <w:pPr>
              <w:pStyle w:val="Paragraphedeliste"/>
              <w:numPr>
                <w:ilvl w:val="0"/>
                <w:numId w:val="1"/>
              </w:numPr>
            </w:pPr>
            <w:r>
              <w:t>Un dépassement de plus de 2 fois cette tolérance nécessite une remise en conformité dans un délai de 2 mois maximum</w:t>
            </w:r>
          </w:p>
        </w:tc>
      </w:tr>
      <w:tr w:rsidR="007C1058" w14:paraId="7AB679E3" w14:textId="77777777" w:rsidTr="00E67E3C">
        <w:tc>
          <w:tcPr>
            <w:tcW w:w="10343" w:type="dxa"/>
            <w:gridSpan w:val="2"/>
          </w:tcPr>
          <w:p w14:paraId="4F333649" w14:textId="397F099F" w:rsidR="007C1058" w:rsidRDefault="007C1058" w:rsidP="007C1058">
            <w:pPr>
              <w:jc w:val="center"/>
            </w:pPr>
            <w:r>
              <w:t>5.7.2 Rotation isocentrique de la table</w:t>
            </w:r>
          </w:p>
        </w:tc>
      </w:tr>
      <w:tr w:rsidR="007C1058" w14:paraId="64DF4A48" w14:textId="77777777" w:rsidTr="00E95AA7">
        <w:tc>
          <w:tcPr>
            <w:tcW w:w="2547" w:type="dxa"/>
          </w:tcPr>
          <w:p w14:paraId="14DA74D9" w14:textId="6E10F626" w:rsidR="007C1058" w:rsidRDefault="007C1058" w:rsidP="007C1058">
            <w:r>
              <w:t>Périodicité</w:t>
            </w:r>
          </w:p>
        </w:tc>
        <w:tc>
          <w:tcPr>
            <w:tcW w:w="7796" w:type="dxa"/>
          </w:tcPr>
          <w:p w14:paraId="1BC16228" w14:textId="17995CCF" w:rsidR="007C1058" w:rsidRDefault="007C1058" w:rsidP="007C1058">
            <w:r>
              <w:t>Semestrielle</w:t>
            </w:r>
          </w:p>
        </w:tc>
      </w:tr>
      <w:tr w:rsidR="007C1058" w14:paraId="6612C802" w14:textId="77777777" w:rsidTr="00E95AA7">
        <w:tc>
          <w:tcPr>
            <w:tcW w:w="2547" w:type="dxa"/>
          </w:tcPr>
          <w:p w14:paraId="33B612FA" w14:textId="26D39A9F" w:rsidR="007C1058" w:rsidRDefault="007C1058" w:rsidP="007C1058">
            <w:r>
              <w:t>Critères d’acceptabilité</w:t>
            </w:r>
          </w:p>
        </w:tc>
        <w:tc>
          <w:tcPr>
            <w:tcW w:w="7796" w:type="dxa"/>
          </w:tcPr>
          <w:p w14:paraId="23750AFF" w14:textId="07C34001" w:rsidR="007C1058" w:rsidRDefault="007C1058" w:rsidP="007C1058">
            <w:pPr>
              <w:pStyle w:val="Paragraphedeliste"/>
              <w:numPr>
                <w:ilvl w:val="0"/>
                <w:numId w:val="1"/>
              </w:numPr>
            </w:pPr>
            <w:r>
              <w:t>Déplacement longitudinal : au niveau de l’isocentre, et à 20 cm de part et d’autre de l’isocentre dans le sens longitudinal, l’écart entre les hauteurs du plateau de table ne doit pas excéde</w:t>
            </w:r>
            <w:r w:rsidR="0091032C">
              <w:t>r 5 mm lorsque le plateau, supp</w:t>
            </w:r>
            <w:r>
              <w:t>o</w:t>
            </w:r>
            <w:r w:rsidR="0091032C">
              <w:t>r</w:t>
            </w:r>
            <w:r>
              <w:t>tant une charge de 50 kg placée à l’extrémité de la table en direction</w:t>
            </w:r>
            <w:r w:rsidR="0091032C">
              <w:t xml:space="preserve"> du bras, est déplacé longitudinalement sur toute sa course</w:t>
            </w:r>
          </w:p>
          <w:p w14:paraId="6B02D0D7" w14:textId="31919EDF" w:rsidR="0091032C" w:rsidRDefault="0091032C" w:rsidP="007C1058">
            <w:pPr>
              <w:pStyle w:val="Paragraphedeliste"/>
              <w:numPr>
                <w:ilvl w:val="0"/>
                <w:numId w:val="1"/>
              </w:numPr>
            </w:pPr>
            <w:r>
              <w:t>Déplacement transversal : au niveau de l’isocentre, et à 20 cm de part et d’autre de l’isocentre dans le sens transverse, l’écart entre les hauteurs du plateau de table ne doit pas excéder 2 mm lorsque le plateau, en charge, est déplacé transversalement sur toute sa course</w:t>
            </w:r>
          </w:p>
        </w:tc>
      </w:tr>
      <w:tr w:rsidR="0091032C" w14:paraId="1E2009AB" w14:textId="77777777" w:rsidTr="00E67E3C">
        <w:tc>
          <w:tcPr>
            <w:tcW w:w="10343" w:type="dxa"/>
            <w:gridSpan w:val="2"/>
          </w:tcPr>
          <w:p w14:paraId="067052AA" w14:textId="01727B7E" w:rsidR="0091032C" w:rsidRDefault="0091032C" w:rsidP="0091032C">
            <w:pPr>
              <w:jc w:val="center"/>
            </w:pPr>
            <w:r>
              <w:t>5.7.4 Echelle de position de la table de traitement</w:t>
            </w:r>
          </w:p>
        </w:tc>
      </w:tr>
      <w:tr w:rsidR="0091032C" w14:paraId="5BEED884" w14:textId="77777777" w:rsidTr="00E95AA7">
        <w:tc>
          <w:tcPr>
            <w:tcW w:w="2547" w:type="dxa"/>
          </w:tcPr>
          <w:p w14:paraId="1B34107D" w14:textId="78FF0173" w:rsidR="0091032C" w:rsidRDefault="0091032C" w:rsidP="007C1058">
            <w:r>
              <w:t>Périodicité</w:t>
            </w:r>
          </w:p>
        </w:tc>
        <w:tc>
          <w:tcPr>
            <w:tcW w:w="7796" w:type="dxa"/>
          </w:tcPr>
          <w:p w14:paraId="376940FC" w14:textId="255D537D" w:rsidR="0091032C" w:rsidRDefault="0091032C" w:rsidP="007C1058">
            <w:r>
              <w:t>Semestrielle</w:t>
            </w:r>
          </w:p>
        </w:tc>
      </w:tr>
      <w:tr w:rsidR="0091032C" w14:paraId="1E69809D" w14:textId="77777777" w:rsidTr="00E95AA7">
        <w:tc>
          <w:tcPr>
            <w:tcW w:w="2547" w:type="dxa"/>
          </w:tcPr>
          <w:p w14:paraId="0505895C" w14:textId="35FC746E" w:rsidR="0091032C" w:rsidRDefault="0091032C" w:rsidP="0091032C">
            <w:r>
              <w:t>Critères d’acceptabilité</w:t>
            </w:r>
          </w:p>
        </w:tc>
        <w:tc>
          <w:tcPr>
            <w:tcW w:w="7796" w:type="dxa"/>
          </w:tcPr>
          <w:p w14:paraId="5E2DA317" w14:textId="77777777" w:rsidR="0091032C" w:rsidRDefault="0091032C" w:rsidP="0091032C">
            <w:pPr>
              <w:pStyle w:val="Paragraphedeliste"/>
              <w:numPr>
                <w:ilvl w:val="0"/>
                <w:numId w:val="1"/>
              </w:numPr>
            </w:pPr>
            <w:r>
              <w:t>Plateau en charge, la précision doit être au minimum 2,5 mm pour les échelles linéaires et de 1° pour les échelles circulaires</w:t>
            </w:r>
          </w:p>
          <w:p w14:paraId="4073329D" w14:textId="60C17DA1" w:rsidR="0091032C" w:rsidRDefault="0091032C" w:rsidP="0091032C">
            <w:pPr>
              <w:pStyle w:val="Paragraphedeliste"/>
              <w:numPr>
                <w:ilvl w:val="0"/>
                <w:numId w:val="1"/>
              </w:numPr>
            </w:pPr>
            <w:r>
              <w:t>Un dépassement de plus de 2 fois ces tolérances nécessite une remise en conformité dans un délai de 2 mois maximum</w:t>
            </w:r>
          </w:p>
        </w:tc>
      </w:tr>
      <w:tr w:rsidR="0091032C" w14:paraId="0C943833" w14:textId="77777777" w:rsidTr="00E67E3C">
        <w:tc>
          <w:tcPr>
            <w:tcW w:w="10343" w:type="dxa"/>
            <w:gridSpan w:val="2"/>
          </w:tcPr>
          <w:p w14:paraId="2B4B8E06" w14:textId="2A83C1B6" w:rsidR="0091032C" w:rsidRPr="0091032C" w:rsidRDefault="003F786C" w:rsidP="0091032C">
            <w:pPr>
              <w:jc w:val="center"/>
              <w:rPr>
                <w:b/>
              </w:rPr>
            </w:pPr>
            <w:r>
              <w:rPr>
                <w:b/>
              </w:rPr>
              <w:t>5.8 Dispositifs de centrage annexes et d’aide au positionnement (lasers, diodes)</w:t>
            </w:r>
          </w:p>
        </w:tc>
      </w:tr>
      <w:tr w:rsidR="0091032C" w14:paraId="1F453EF3" w14:textId="77777777" w:rsidTr="00E95AA7">
        <w:tc>
          <w:tcPr>
            <w:tcW w:w="2547" w:type="dxa"/>
          </w:tcPr>
          <w:p w14:paraId="79C120FE" w14:textId="0DD727AD" w:rsidR="0091032C" w:rsidRDefault="003F786C" w:rsidP="0091032C">
            <w:r>
              <w:t>Périodicité</w:t>
            </w:r>
          </w:p>
        </w:tc>
        <w:tc>
          <w:tcPr>
            <w:tcW w:w="7796" w:type="dxa"/>
          </w:tcPr>
          <w:p w14:paraId="011BB6EC" w14:textId="6A4A233D" w:rsidR="0091032C" w:rsidRDefault="003F786C" w:rsidP="0091032C">
            <w:r>
              <w:t>Mensuelle</w:t>
            </w:r>
          </w:p>
        </w:tc>
      </w:tr>
      <w:tr w:rsidR="003F786C" w14:paraId="4110806B" w14:textId="77777777" w:rsidTr="00E95AA7">
        <w:tc>
          <w:tcPr>
            <w:tcW w:w="2547" w:type="dxa"/>
          </w:tcPr>
          <w:p w14:paraId="273E5E6C" w14:textId="08E4E18E" w:rsidR="003F786C" w:rsidRDefault="003F786C" w:rsidP="003F786C">
            <w:r>
              <w:t>Critères d’acceptabilité</w:t>
            </w:r>
          </w:p>
        </w:tc>
        <w:tc>
          <w:tcPr>
            <w:tcW w:w="7796" w:type="dxa"/>
          </w:tcPr>
          <w:p w14:paraId="03EE5D60" w14:textId="77777777" w:rsidR="003F786C" w:rsidRPr="003F786C" w:rsidRDefault="003F786C" w:rsidP="003F786C">
            <w:pPr>
              <w:pStyle w:val="Paragraphedeliste"/>
              <w:numPr>
                <w:ilvl w:val="0"/>
                <w:numId w:val="1"/>
              </w:numPr>
            </w:pPr>
            <w:r>
              <w:t xml:space="preserve">Centreur latéraux : dans le plan horizontal passant par l’isocentre, l’écart de superposition du faisceau lumineux généré par le centreur avec l’axe principal du collimateur , bras à 90°, ne doit pas excéder 2 mm pour 2 points situés à </w:t>
            </w:r>
            <m:oMath>
              <m:r>
                <w:rPr>
                  <w:rFonts w:ascii="Cambria Math" w:hAnsi="Cambria Math"/>
                </w:rPr>
                <m:t>±</m:t>
              </m:r>
            </m:oMath>
            <w:r>
              <w:rPr>
                <w:rFonts w:eastAsiaTheme="minorEastAsia"/>
              </w:rPr>
              <w:t xml:space="preserve"> 20 cm de l’isocentre</w:t>
            </w:r>
          </w:p>
          <w:p w14:paraId="26E6DBE5" w14:textId="77777777" w:rsidR="003F786C" w:rsidRPr="00E67E3C" w:rsidRDefault="003F786C" w:rsidP="003F786C">
            <w:pPr>
              <w:pStyle w:val="Paragraphedeliste"/>
              <w:numPr>
                <w:ilvl w:val="0"/>
                <w:numId w:val="1"/>
              </w:numPr>
            </w:pPr>
            <w:r>
              <w:rPr>
                <w:rFonts w:eastAsiaTheme="minorEastAsia"/>
              </w:rPr>
              <w:t>Centreur longitudinal : même critère d’acceptabilité pour 2 plans horizontaux</w:t>
            </w:r>
          </w:p>
          <w:p w14:paraId="55562440" w14:textId="77777777" w:rsidR="00E67E3C" w:rsidRPr="00E67E3C" w:rsidRDefault="00E67E3C" w:rsidP="003F786C">
            <w:pPr>
              <w:pStyle w:val="Paragraphedeliste"/>
              <w:numPr>
                <w:ilvl w:val="0"/>
                <w:numId w:val="1"/>
              </w:numPr>
            </w:pPr>
            <w:r>
              <w:rPr>
                <w:rFonts w:eastAsiaTheme="minorEastAsia"/>
              </w:rPr>
              <w:t>Rétrocentreurs : dans le plan horizontal passant par l’isocentre, l’écart de superposition du faisceau lumineux, généré par le rétrocentreur, avec l’isocentre, bras à 0°, ne doit pas excéder 1 mm dans toutes les directions</w:t>
            </w:r>
          </w:p>
          <w:p w14:paraId="1EB92D6D" w14:textId="48B2306D" w:rsidR="00E67E3C" w:rsidRDefault="00E67E3C" w:rsidP="003F786C">
            <w:pPr>
              <w:pStyle w:val="Paragraphedeliste"/>
              <w:numPr>
                <w:ilvl w:val="0"/>
                <w:numId w:val="1"/>
              </w:numPr>
            </w:pPr>
            <w:r>
              <w:rPr>
                <w:rFonts w:eastAsiaTheme="minorEastAsia"/>
              </w:rPr>
              <w:t>En cas de non-respect de ces critères d’acceptabilité, les dispositifs de centrage annexes doivent être remis en conformité dès que possible</w:t>
            </w:r>
          </w:p>
        </w:tc>
      </w:tr>
      <w:tr w:rsidR="00E67E3C" w14:paraId="273E8DB4" w14:textId="77777777" w:rsidTr="00E67E3C">
        <w:tc>
          <w:tcPr>
            <w:tcW w:w="10343" w:type="dxa"/>
            <w:gridSpan w:val="2"/>
          </w:tcPr>
          <w:p w14:paraId="667EBDA7" w14:textId="6EC74272" w:rsidR="00E67E3C" w:rsidRPr="00E67E3C" w:rsidRDefault="00E67E3C" w:rsidP="00E67E3C">
            <w:pPr>
              <w:jc w:val="center"/>
              <w:rPr>
                <w:b/>
              </w:rPr>
            </w:pPr>
            <w:r>
              <w:rPr>
                <w:b/>
              </w:rPr>
              <w:t>5.9 Système d’imagerie portale</w:t>
            </w:r>
          </w:p>
        </w:tc>
      </w:tr>
      <w:tr w:rsidR="00E67E3C" w14:paraId="6DF75D1D" w14:textId="77777777" w:rsidTr="00E67E3C">
        <w:tc>
          <w:tcPr>
            <w:tcW w:w="10343" w:type="dxa"/>
            <w:gridSpan w:val="2"/>
          </w:tcPr>
          <w:p w14:paraId="6824FC7E" w14:textId="0F44485C" w:rsidR="00E67E3C" w:rsidRDefault="00E67E3C" w:rsidP="00E67E3C">
            <w:pPr>
              <w:jc w:val="center"/>
            </w:pPr>
            <w:r>
              <w:t>5.9.1 Systèmes anticollision</w:t>
            </w:r>
          </w:p>
        </w:tc>
      </w:tr>
      <w:tr w:rsidR="003F786C" w14:paraId="7B87DFB3" w14:textId="77777777" w:rsidTr="00E95AA7">
        <w:tc>
          <w:tcPr>
            <w:tcW w:w="2547" w:type="dxa"/>
          </w:tcPr>
          <w:p w14:paraId="40EC13BB" w14:textId="768A8E8F" w:rsidR="003F786C" w:rsidRDefault="00E67E3C" w:rsidP="003F786C">
            <w:r>
              <w:t>Périodicité</w:t>
            </w:r>
          </w:p>
        </w:tc>
        <w:tc>
          <w:tcPr>
            <w:tcW w:w="7796" w:type="dxa"/>
          </w:tcPr>
          <w:p w14:paraId="3BBDCDAB" w14:textId="4D22E1CB" w:rsidR="003F786C" w:rsidRDefault="00E67E3C" w:rsidP="003F786C">
            <w:r>
              <w:t>Hebdomadaire</w:t>
            </w:r>
          </w:p>
        </w:tc>
      </w:tr>
      <w:tr w:rsidR="00E67E3C" w14:paraId="7E7BB011" w14:textId="77777777" w:rsidTr="00E95AA7">
        <w:tc>
          <w:tcPr>
            <w:tcW w:w="2547" w:type="dxa"/>
          </w:tcPr>
          <w:p w14:paraId="6ECD8629" w14:textId="76C3C4AA" w:rsidR="00E67E3C" w:rsidRDefault="00E67E3C" w:rsidP="00E67E3C">
            <w:r>
              <w:t>Critères d’acceptabilité</w:t>
            </w:r>
          </w:p>
        </w:tc>
        <w:tc>
          <w:tcPr>
            <w:tcW w:w="7796" w:type="dxa"/>
          </w:tcPr>
          <w:p w14:paraId="5DA0D797" w14:textId="5D77B932" w:rsidR="00E67E3C" w:rsidRDefault="00E67E3C" w:rsidP="00E67E3C">
            <w:r>
              <w:t>Toute collision simulée doit impérativement arrêter les mouvements du dispositif</w:t>
            </w:r>
          </w:p>
        </w:tc>
      </w:tr>
      <w:tr w:rsidR="00E67E3C" w14:paraId="3BE4E244" w14:textId="77777777" w:rsidTr="00E67E3C">
        <w:tc>
          <w:tcPr>
            <w:tcW w:w="10343" w:type="dxa"/>
            <w:gridSpan w:val="2"/>
          </w:tcPr>
          <w:p w14:paraId="556918AF" w14:textId="2FBCBF36" w:rsidR="00E67E3C" w:rsidRDefault="00E67E3C" w:rsidP="00E67E3C">
            <w:pPr>
              <w:jc w:val="center"/>
            </w:pPr>
            <w:r>
              <w:t>5.9.2 Affichage de la distance source-détecteur</w:t>
            </w:r>
          </w:p>
        </w:tc>
      </w:tr>
      <w:tr w:rsidR="00E67E3C" w14:paraId="4372B479" w14:textId="77777777" w:rsidTr="00E95AA7">
        <w:tc>
          <w:tcPr>
            <w:tcW w:w="2547" w:type="dxa"/>
          </w:tcPr>
          <w:p w14:paraId="4ED99283" w14:textId="0C53AF0C" w:rsidR="00E67E3C" w:rsidRDefault="00E67E3C" w:rsidP="00E67E3C">
            <w:r>
              <w:t>Périodicité</w:t>
            </w:r>
          </w:p>
        </w:tc>
        <w:tc>
          <w:tcPr>
            <w:tcW w:w="7796" w:type="dxa"/>
          </w:tcPr>
          <w:p w14:paraId="0BD69DDC" w14:textId="6B9C3A21" w:rsidR="00E67E3C" w:rsidRDefault="00E67E3C" w:rsidP="00E67E3C">
            <w:r>
              <w:t>Semestrielle</w:t>
            </w:r>
          </w:p>
        </w:tc>
      </w:tr>
      <w:tr w:rsidR="00E67E3C" w14:paraId="56C50236" w14:textId="77777777" w:rsidTr="00E95AA7">
        <w:tc>
          <w:tcPr>
            <w:tcW w:w="2547" w:type="dxa"/>
          </w:tcPr>
          <w:p w14:paraId="3FB8C1CC" w14:textId="637974E0" w:rsidR="00E67E3C" w:rsidRDefault="00E67E3C" w:rsidP="00E67E3C">
            <w:r>
              <w:t>Critères d’acceptabilité</w:t>
            </w:r>
          </w:p>
        </w:tc>
        <w:tc>
          <w:tcPr>
            <w:tcW w:w="7796" w:type="dxa"/>
          </w:tcPr>
          <w:p w14:paraId="2DEF776B" w14:textId="35B11A8E" w:rsidR="00E67E3C" w:rsidRDefault="00E67E3C" w:rsidP="00E67E3C">
            <w:r>
              <w:t>L’écart entre la valeur mesurée et la valeur affichée ne doit pas dépasser 2 mm</w:t>
            </w:r>
          </w:p>
        </w:tc>
      </w:tr>
      <w:tr w:rsidR="00E67E3C" w14:paraId="10C433D6" w14:textId="77777777" w:rsidTr="00E67E3C">
        <w:tc>
          <w:tcPr>
            <w:tcW w:w="10343" w:type="dxa"/>
            <w:gridSpan w:val="2"/>
          </w:tcPr>
          <w:p w14:paraId="676109DC" w14:textId="24A88ED5" w:rsidR="00E67E3C" w:rsidRDefault="00E67E3C" w:rsidP="00E67E3C">
            <w:pPr>
              <w:jc w:val="center"/>
            </w:pPr>
            <w:r>
              <w:t>5.9.3 Jeu mécanique en fonction du déplacement vertical du support</w:t>
            </w:r>
          </w:p>
        </w:tc>
      </w:tr>
      <w:tr w:rsidR="00E67E3C" w14:paraId="1A23A33C" w14:textId="77777777" w:rsidTr="00E95AA7">
        <w:tc>
          <w:tcPr>
            <w:tcW w:w="2547" w:type="dxa"/>
          </w:tcPr>
          <w:p w14:paraId="422C9415" w14:textId="20CFEBB4" w:rsidR="00E67E3C" w:rsidRDefault="00E67E3C" w:rsidP="00E67E3C">
            <w:r>
              <w:t>Périodicité</w:t>
            </w:r>
          </w:p>
        </w:tc>
        <w:tc>
          <w:tcPr>
            <w:tcW w:w="7796" w:type="dxa"/>
          </w:tcPr>
          <w:p w14:paraId="4339C411" w14:textId="26E89095" w:rsidR="00E67E3C" w:rsidRDefault="00E67E3C" w:rsidP="00E67E3C">
            <w:r>
              <w:t>Semestrielle</w:t>
            </w:r>
          </w:p>
        </w:tc>
      </w:tr>
      <w:tr w:rsidR="00E67E3C" w14:paraId="3146A034" w14:textId="77777777" w:rsidTr="00E95AA7">
        <w:tc>
          <w:tcPr>
            <w:tcW w:w="2547" w:type="dxa"/>
          </w:tcPr>
          <w:p w14:paraId="6028E69E" w14:textId="206FAEFC" w:rsidR="00E67E3C" w:rsidRDefault="00E67E3C" w:rsidP="00E67E3C">
            <w:r>
              <w:t>Critères d’acceptabilité</w:t>
            </w:r>
          </w:p>
        </w:tc>
        <w:tc>
          <w:tcPr>
            <w:tcW w:w="7796" w:type="dxa"/>
          </w:tcPr>
          <w:p w14:paraId="1C24225A" w14:textId="243AA22D" w:rsidR="00E67E3C" w:rsidRDefault="00E67E3C" w:rsidP="00E67E3C">
            <w:r>
              <w:t>Le jeu mécanique du support en fonction du déplacement vertical ne doit pas excéder 2 mm pour les systèmes d’imagerie portale à visée dosimétrique ou de repositionnement automatique et 10 mm pour les systèmes utilisés uniquement pour l’imagerie</w:t>
            </w:r>
          </w:p>
        </w:tc>
      </w:tr>
      <w:tr w:rsidR="00E67E3C" w14:paraId="72C1701F" w14:textId="77777777" w:rsidTr="00E67E3C">
        <w:tc>
          <w:tcPr>
            <w:tcW w:w="10343" w:type="dxa"/>
            <w:gridSpan w:val="2"/>
          </w:tcPr>
          <w:p w14:paraId="54BD06F9" w14:textId="4E9361A8" w:rsidR="00E67E3C" w:rsidRDefault="00E67E3C" w:rsidP="00E67E3C">
            <w:pPr>
              <w:jc w:val="center"/>
            </w:pPr>
            <w:r>
              <w:t>5.9.4 Jeu mécanique en fonction de la rotation du bras de l’appareil de traitement</w:t>
            </w:r>
          </w:p>
        </w:tc>
      </w:tr>
      <w:tr w:rsidR="00E67E3C" w14:paraId="7264BEF5" w14:textId="77777777" w:rsidTr="00E95AA7">
        <w:tc>
          <w:tcPr>
            <w:tcW w:w="2547" w:type="dxa"/>
          </w:tcPr>
          <w:p w14:paraId="1F8F9498" w14:textId="3CBCD6E6" w:rsidR="00E67E3C" w:rsidRDefault="00E67E3C" w:rsidP="00E67E3C">
            <w:r>
              <w:t>Périodicité</w:t>
            </w:r>
          </w:p>
        </w:tc>
        <w:tc>
          <w:tcPr>
            <w:tcW w:w="7796" w:type="dxa"/>
          </w:tcPr>
          <w:p w14:paraId="62445459" w14:textId="1B570285" w:rsidR="00E67E3C" w:rsidRDefault="00E67E3C" w:rsidP="00E67E3C">
            <w:r>
              <w:t>Semestrielle</w:t>
            </w:r>
          </w:p>
        </w:tc>
      </w:tr>
      <w:tr w:rsidR="00E67E3C" w14:paraId="1AED54AD" w14:textId="77777777" w:rsidTr="00E95AA7">
        <w:tc>
          <w:tcPr>
            <w:tcW w:w="2547" w:type="dxa"/>
          </w:tcPr>
          <w:p w14:paraId="2A1DFD67" w14:textId="1441ED57" w:rsidR="00E67E3C" w:rsidRDefault="00E67E3C" w:rsidP="00E67E3C">
            <w:r>
              <w:t>Critères d’acceptabilité</w:t>
            </w:r>
          </w:p>
        </w:tc>
        <w:tc>
          <w:tcPr>
            <w:tcW w:w="7796" w:type="dxa"/>
          </w:tcPr>
          <w:p w14:paraId="5B8F1389" w14:textId="030DD56B" w:rsidR="00E67E3C" w:rsidRDefault="00E67E3C" w:rsidP="00E67E3C">
            <w:r>
              <w:t>Le jeu mécanique en fonction de la rotation du bras ne doit pas excéder 2 mm pour les systèmes d’imagerie portale à visée dosimétrique ou de repositionnement automatique et 10 mm pour les systèmes utilisés uniquement pour l’imagerie</w:t>
            </w:r>
          </w:p>
        </w:tc>
      </w:tr>
      <w:tr w:rsidR="00E67E3C" w14:paraId="0AB2D15E" w14:textId="77777777" w:rsidTr="00E67E3C">
        <w:tc>
          <w:tcPr>
            <w:tcW w:w="10343" w:type="dxa"/>
            <w:gridSpan w:val="2"/>
          </w:tcPr>
          <w:p w14:paraId="40EACC77" w14:textId="34926FB9" w:rsidR="00E67E3C" w:rsidRDefault="00E67E3C" w:rsidP="00E67E3C">
            <w:pPr>
              <w:jc w:val="center"/>
            </w:pPr>
            <w:r>
              <w:lastRenderedPageBreak/>
              <w:t>5.9.5 Concordance de l’image avec le champ d’irradiation</w:t>
            </w:r>
          </w:p>
        </w:tc>
      </w:tr>
      <w:tr w:rsidR="00E67E3C" w14:paraId="6BCD20CF" w14:textId="77777777" w:rsidTr="00E95AA7">
        <w:tc>
          <w:tcPr>
            <w:tcW w:w="2547" w:type="dxa"/>
          </w:tcPr>
          <w:p w14:paraId="073193FD" w14:textId="3632BD9A" w:rsidR="00E67E3C" w:rsidRDefault="00E67E3C" w:rsidP="00E67E3C">
            <w:r>
              <w:t>Périodicité</w:t>
            </w:r>
          </w:p>
        </w:tc>
        <w:tc>
          <w:tcPr>
            <w:tcW w:w="7796" w:type="dxa"/>
          </w:tcPr>
          <w:p w14:paraId="14070164" w14:textId="63DC9517" w:rsidR="00E67E3C" w:rsidRDefault="00E67E3C" w:rsidP="00E67E3C">
            <w:r>
              <w:t>Semestrielle</w:t>
            </w:r>
          </w:p>
        </w:tc>
      </w:tr>
      <w:tr w:rsidR="00E67E3C" w14:paraId="61F05F3C" w14:textId="77777777" w:rsidTr="00E95AA7">
        <w:tc>
          <w:tcPr>
            <w:tcW w:w="2547" w:type="dxa"/>
          </w:tcPr>
          <w:p w14:paraId="19310FEF" w14:textId="4A7A00A9" w:rsidR="00E67E3C" w:rsidRDefault="00E67E3C" w:rsidP="00E67E3C">
            <w:r>
              <w:t>Critères d’acceptabilité</w:t>
            </w:r>
          </w:p>
        </w:tc>
        <w:tc>
          <w:tcPr>
            <w:tcW w:w="7796" w:type="dxa"/>
          </w:tcPr>
          <w:p w14:paraId="0A3D04DE" w14:textId="08EE457A" w:rsidR="00E67E3C" w:rsidRDefault="00E67E3C" w:rsidP="00E67E3C">
            <w:r>
              <w:t>Pour un champ de dimension 15x15 cm² , l’écart entre la taille réelle du champ irradié et la taille mesurée sur l’image ne doit pas dépasser 2 mm</w:t>
            </w:r>
          </w:p>
        </w:tc>
      </w:tr>
      <w:tr w:rsidR="00E67E3C" w14:paraId="11629ACD" w14:textId="77777777" w:rsidTr="00E67E3C">
        <w:tc>
          <w:tcPr>
            <w:tcW w:w="10343" w:type="dxa"/>
            <w:gridSpan w:val="2"/>
          </w:tcPr>
          <w:p w14:paraId="710CC15A" w14:textId="5BE05CD3" w:rsidR="00E67E3C" w:rsidRDefault="00E67E3C" w:rsidP="00E67E3C">
            <w:pPr>
              <w:jc w:val="center"/>
            </w:pPr>
            <w:r>
              <w:t>5.9.6 Contraste et résolution spatiale</w:t>
            </w:r>
          </w:p>
        </w:tc>
      </w:tr>
      <w:tr w:rsidR="00E67E3C" w14:paraId="4A69512E" w14:textId="77777777" w:rsidTr="00E95AA7">
        <w:tc>
          <w:tcPr>
            <w:tcW w:w="2547" w:type="dxa"/>
          </w:tcPr>
          <w:p w14:paraId="6BC2196A" w14:textId="329583B5" w:rsidR="00E67E3C" w:rsidRDefault="00E67E3C" w:rsidP="00E67E3C">
            <w:r>
              <w:t>Périodicité</w:t>
            </w:r>
          </w:p>
        </w:tc>
        <w:tc>
          <w:tcPr>
            <w:tcW w:w="7796" w:type="dxa"/>
          </w:tcPr>
          <w:p w14:paraId="1055E61B" w14:textId="3DE88563" w:rsidR="00E67E3C" w:rsidRDefault="00E67E3C" w:rsidP="00E67E3C">
            <w:r>
              <w:t>Semestrielle</w:t>
            </w:r>
          </w:p>
        </w:tc>
      </w:tr>
      <w:tr w:rsidR="00E67E3C" w14:paraId="5AFDB4B8" w14:textId="77777777" w:rsidTr="00E95AA7">
        <w:tc>
          <w:tcPr>
            <w:tcW w:w="2547" w:type="dxa"/>
          </w:tcPr>
          <w:p w14:paraId="59481092" w14:textId="2D3943EC" w:rsidR="00E67E3C" w:rsidRDefault="00E67E3C" w:rsidP="00E67E3C">
            <w:r>
              <w:t>Critères d’acceptabilité</w:t>
            </w:r>
          </w:p>
        </w:tc>
        <w:tc>
          <w:tcPr>
            <w:tcW w:w="7796" w:type="dxa"/>
          </w:tcPr>
          <w:p w14:paraId="3CB0857C" w14:textId="49890BF5" w:rsidR="00E67E3C" w:rsidRDefault="00E67E3C" w:rsidP="00E67E3C">
            <w:r>
              <w:t>Le contraste et la résolution spatiale pour toutes les énergies utilisées cliniquement avec le système d’imagerie portale ne doivent pas dépasser la tolérance fixée par le fabricant par rapport au contrôle initial</w:t>
            </w:r>
          </w:p>
        </w:tc>
      </w:tr>
      <w:tr w:rsidR="00E67E3C" w14:paraId="5EF65D19" w14:textId="77777777" w:rsidTr="00E67E3C">
        <w:tc>
          <w:tcPr>
            <w:tcW w:w="10343" w:type="dxa"/>
            <w:gridSpan w:val="2"/>
          </w:tcPr>
          <w:p w14:paraId="5BF4F20A" w14:textId="54D9F422" w:rsidR="00E67E3C" w:rsidRDefault="00E67E3C" w:rsidP="00E67E3C">
            <w:pPr>
              <w:jc w:val="center"/>
            </w:pPr>
            <w:r>
              <w:t>5.9.7 Bruit</w:t>
            </w:r>
          </w:p>
        </w:tc>
      </w:tr>
      <w:tr w:rsidR="00E67E3C" w14:paraId="6EC0AA06" w14:textId="77777777" w:rsidTr="00E95AA7">
        <w:tc>
          <w:tcPr>
            <w:tcW w:w="2547" w:type="dxa"/>
          </w:tcPr>
          <w:p w14:paraId="46613A4F" w14:textId="5559E1FF" w:rsidR="00E67E3C" w:rsidRDefault="00E67E3C" w:rsidP="00E67E3C">
            <w:r>
              <w:t>Périodicité</w:t>
            </w:r>
          </w:p>
        </w:tc>
        <w:tc>
          <w:tcPr>
            <w:tcW w:w="7796" w:type="dxa"/>
          </w:tcPr>
          <w:p w14:paraId="1B06CBAF" w14:textId="3375E1E8" w:rsidR="00E67E3C" w:rsidRDefault="00E67E3C" w:rsidP="00E67E3C">
            <w:r>
              <w:t>Semestrielle</w:t>
            </w:r>
          </w:p>
        </w:tc>
      </w:tr>
      <w:tr w:rsidR="00E67E3C" w14:paraId="47902FF0" w14:textId="77777777" w:rsidTr="00E95AA7">
        <w:tc>
          <w:tcPr>
            <w:tcW w:w="2547" w:type="dxa"/>
          </w:tcPr>
          <w:p w14:paraId="4993F1A2" w14:textId="2B9B13E7" w:rsidR="00E67E3C" w:rsidRDefault="00E67E3C" w:rsidP="00E67E3C">
            <w:r>
              <w:t>Critères d’acceptabilité</w:t>
            </w:r>
          </w:p>
        </w:tc>
        <w:tc>
          <w:tcPr>
            <w:tcW w:w="7796" w:type="dxa"/>
          </w:tcPr>
          <w:p w14:paraId="4BA9AE4A" w14:textId="1AB32E17" w:rsidR="00E67E3C" w:rsidRDefault="00E67E3C" w:rsidP="00E67E3C">
            <w:r>
              <w:t>Pour une utilisation en mode planaire, la varia</w:t>
            </w:r>
            <w:r w:rsidR="003501F0">
              <w:t xml:space="preserve">tion maximale d’homogénéité ne </w:t>
            </w:r>
            <w:r>
              <w:t>d</w:t>
            </w:r>
            <w:r w:rsidR="003501F0">
              <w:t>o</w:t>
            </w:r>
            <w:r>
              <w:t xml:space="preserve">it pas excéder </w:t>
            </w:r>
            <m:oMath>
              <m:r>
                <w:rPr>
                  <w:rFonts w:ascii="Cambria Math" w:hAnsi="Cambria Math"/>
                </w:rPr>
                <m:t>±</m:t>
              </m:r>
            </m:oMath>
            <w:r>
              <w:rPr>
                <w:rFonts w:eastAsiaTheme="minorEastAsia"/>
              </w:rPr>
              <w:t xml:space="preserve"> 5 %</w:t>
            </w:r>
          </w:p>
        </w:tc>
      </w:tr>
      <w:tr w:rsidR="00E67E3C" w14:paraId="0FDD5BB9" w14:textId="77777777" w:rsidTr="00E67E3C">
        <w:tc>
          <w:tcPr>
            <w:tcW w:w="10343" w:type="dxa"/>
            <w:gridSpan w:val="2"/>
          </w:tcPr>
          <w:p w14:paraId="477FE0BC" w14:textId="6A3C7FD6" w:rsidR="00E67E3C" w:rsidRDefault="00E67E3C" w:rsidP="00E67E3C">
            <w:pPr>
              <w:jc w:val="center"/>
            </w:pPr>
            <w:r>
              <w:t>5.9.8 Homogénéité de l’image</w:t>
            </w:r>
          </w:p>
        </w:tc>
      </w:tr>
      <w:tr w:rsidR="00E67E3C" w14:paraId="4D09992D" w14:textId="77777777" w:rsidTr="00E95AA7">
        <w:tc>
          <w:tcPr>
            <w:tcW w:w="2547" w:type="dxa"/>
          </w:tcPr>
          <w:p w14:paraId="390FDB88" w14:textId="4754ECD2" w:rsidR="00E67E3C" w:rsidRDefault="00E67E3C" w:rsidP="00E67E3C">
            <w:r>
              <w:t>Périodicité</w:t>
            </w:r>
          </w:p>
        </w:tc>
        <w:tc>
          <w:tcPr>
            <w:tcW w:w="7796" w:type="dxa"/>
          </w:tcPr>
          <w:p w14:paraId="3065D0D7" w14:textId="14143DB2" w:rsidR="00E67E3C" w:rsidRDefault="00E67E3C" w:rsidP="00E67E3C">
            <w:r>
              <w:t>Semestrielle</w:t>
            </w:r>
          </w:p>
        </w:tc>
      </w:tr>
      <w:tr w:rsidR="00E67E3C" w14:paraId="2FF405FE" w14:textId="77777777" w:rsidTr="00E95AA7">
        <w:tc>
          <w:tcPr>
            <w:tcW w:w="2547" w:type="dxa"/>
          </w:tcPr>
          <w:p w14:paraId="2E77CD9B" w14:textId="5D0AED76" w:rsidR="00E67E3C" w:rsidRDefault="00E67E3C" w:rsidP="00E67E3C">
            <w:r>
              <w:t>Critères d’acceptabilité</w:t>
            </w:r>
          </w:p>
        </w:tc>
        <w:tc>
          <w:tcPr>
            <w:tcW w:w="7796" w:type="dxa"/>
          </w:tcPr>
          <w:p w14:paraId="45177518" w14:textId="475E6907" w:rsidR="00E67E3C" w:rsidRDefault="00E67E3C" w:rsidP="00E67E3C">
            <w:r>
              <w:t>Pour une utilisation en mode planaire, la varia</w:t>
            </w:r>
            <w:r w:rsidR="003501F0">
              <w:t xml:space="preserve">tion maximale d’homogénéité ne </w:t>
            </w:r>
            <w:r>
              <w:t>d</w:t>
            </w:r>
            <w:r w:rsidR="003501F0">
              <w:t>o</w:t>
            </w:r>
            <w:r>
              <w:t xml:space="preserve">it pas excéder </w:t>
            </w:r>
            <m:oMath>
              <m:r>
                <w:rPr>
                  <w:rFonts w:ascii="Cambria Math" w:hAnsi="Cambria Math"/>
                </w:rPr>
                <m:t>±</m:t>
              </m:r>
            </m:oMath>
            <w:r>
              <w:rPr>
                <w:rFonts w:eastAsiaTheme="minorEastAsia"/>
              </w:rPr>
              <w:t xml:space="preserve"> 5 %</w:t>
            </w:r>
          </w:p>
        </w:tc>
      </w:tr>
      <w:tr w:rsidR="003501F0" w14:paraId="5587BF73" w14:textId="77777777" w:rsidTr="00E009C1">
        <w:tc>
          <w:tcPr>
            <w:tcW w:w="10343" w:type="dxa"/>
            <w:gridSpan w:val="2"/>
          </w:tcPr>
          <w:p w14:paraId="6D6BA437" w14:textId="5D0F3604" w:rsidR="003501F0" w:rsidRDefault="003501F0" w:rsidP="003501F0">
            <w:pPr>
              <w:jc w:val="center"/>
            </w:pPr>
            <w:r>
              <w:t>5.9.9 Outil de mesure des distances sur écran</w:t>
            </w:r>
          </w:p>
        </w:tc>
      </w:tr>
      <w:tr w:rsidR="00E67E3C" w14:paraId="68298F46" w14:textId="77777777" w:rsidTr="00E95AA7">
        <w:tc>
          <w:tcPr>
            <w:tcW w:w="2547" w:type="dxa"/>
          </w:tcPr>
          <w:p w14:paraId="448625B8" w14:textId="4FA9FA61" w:rsidR="00E67E3C" w:rsidRDefault="003501F0" w:rsidP="00E67E3C">
            <w:r>
              <w:t>Périodicité</w:t>
            </w:r>
          </w:p>
        </w:tc>
        <w:tc>
          <w:tcPr>
            <w:tcW w:w="7796" w:type="dxa"/>
          </w:tcPr>
          <w:p w14:paraId="6961CE05" w14:textId="1CB32F14" w:rsidR="00E67E3C" w:rsidRDefault="003501F0" w:rsidP="00E67E3C">
            <w:r>
              <w:t>Semestrielle</w:t>
            </w:r>
          </w:p>
        </w:tc>
      </w:tr>
      <w:tr w:rsidR="003501F0" w14:paraId="1E79FE0E" w14:textId="77777777" w:rsidTr="00E95AA7">
        <w:tc>
          <w:tcPr>
            <w:tcW w:w="2547" w:type="dxa"/>
          </w:tcPr>
          <w:p w14:paraId="157BDF74" w14:textId="0935F0FE" w:rsidR="003501F0" w:rsidRDefault="003501F0" w:rsidP="003501F0">
            <w:r>
              <w:t>Critères d’acceptabilité</w:t>
            </w:r>
          </w:p>
        </w:tc>
        <w:tc>
          <w:tcPr>
            <w:tcW w:w="7796" w:type="dxa"/>
          </w:tcPr>
          <w:p w14:paraId="4C381492" w14:textId="46F730A8" w:rsidR="003501F0" w:rsidRDefault="003501F0" w:rsidP="003501F0">
            <w:r>
              <w:t>L’écart entre la distance estimée par les outils de mesure des distances sur écran et la distance réelle ne doit pas dépasser deux fois la taille du pixel de l’image</w:t>
            </w:r>
          </w:p>
        </w:tc>
      </w:tr>
      <w:tr w:rsidR="003501F0" w14:paraId="6D034755" w14:textId="77777777" w:rsidTr="00E009C1">
        <w:tc>
          <w:tcPr>
            <w:tcW w:w="10343" w:type="dxa"/>
            <w:gridSpan w:val="2"/>
          </w:tcPr>
          <w:p w14:paraId="3330AA55" w14:textId="1BC1C68E" w:rsidR="003501F0" w:rsidRDefault="003501F0" w:rsidP="003501F0">
            <w:pPr>
              <w:jc w:val="center"/>
            </w:pPr>
            <w:r>
              <w:t>5 .9.10 Distorsion spatiale</w:t>
            </w:r>
          </w:p>
        </w:tc>
      </w:tr>
      <w:tr w:rsidR="003501F0" w14:paraId="2D983576" w14:textId="77777777" w:rsidTr="00E95AA7">
        <w:tc>
          <w:tcPr>
            <w:tcW w:w="2547" w:type="dxa"/>
          </w:tcPr>
          <w:p w14:paraId="5712C7E4" w14:textId="7CF724EF" w:rsidR="003501F0" w:rsidRDefault="003501F0" w:rsidP="003501F0">
            <w:r>
              <w:t>Périodicité</w:t>
            </w:r>
          </w:p>
        </w:tc>
        <w:tc>
          <w:tcPr>
            <w:tcW w:w="7796" w:type="dxa"/>
          </w:tcPr>
          <w:p w14:paraId="068B6B18" w14:textId="467F223E" w:rsidR="003501F0" w:rsidRDefault="003501F0" w:rsidP="003501F0">
            <w:r>
              <w:t>Semestrielle</w:t>
            </w:r>
          </w:p>
        </w:tc>
      </w:tr>
      <w:tr w:rsidR="003501F0" w14:paraId="1FAA787A" w14:textId="77777777" w:rsidTr="00E95AA7">
        <w:tc>
          <w:tcPr>
            <w:tcW w:w="2547" w:type="dxa"/>
          </w:tcPr>
          <w:p w14:paraId="51F20F5B" w14:textId="3D4220F1" w:rsidR="003501F0" w:rsidRDefault="003501F0" w:rsidP="003501F0">
            <w:r>
              <w:t>Critères d’acceptabilité</w:t>
            </w:r>
          </w:p>
        </w:tc>
        <w:tc>
          <w:tcPr>
            <w:tcW w:w="7796" w:type="dxa"/>
          </w:tcPr>
          <w:p w14:paraId="4E43F212" w14:textId="4B89A31C" w:rsidR="003501F0" w:rsidRDefault="003501F0" w:rsidP="003501F0">
            <w:r>
              <w:t>La distorsion spatiale ne doit pas être supérieure à 1 mm</w:t>
            </w:r>
          </w:p>
        </w:tc>
      </w:tr>
      <w:tr w:rsidR="003501F0" w14:paraId="5F381A2F" w14:textId="77777777" w:rsidTr="00E009C1">
        <w:tc>
          <w:tcPr>
            <w:tcW w:w="10343" w:type="dxa"/>
            <w:gridSpan w:val="2"/>
          </w:tcPr>
          <w:p w14:paraId="5E578938" w14:textId="1739F5A9" w:rsidR="003501F0" w:rsidRPr="003501F0" w:rsidRDefault="003501F0" w:rsidP="003501F0">
            <w:pPr>
              <w:jc w:val="center"/>
              <w:rPr>
                <w:b/>
              </w:rPr>
            </w:pPr>
            <w:r w:rsidRPr="003501F0">
              <w:rPr>
                <w:b/>
              </w:rPr>
              <w:t>5.10 Courbe de correspondance entre unités Hounsfield et densités électroniques du module d’imagerie du système de planification de traitement ou du logiciel de simulation indépendant</w:t>
            </w:r>
          </w:p>
        </w:tc>
      </w:tr>
      <w:tr w:rsidR="003501F0" w14:paraId="122487AB" w14:textId="77777777" w:rsidTr="00E95AA7">
        <w:tc>
          <w:tcPr>
            <w:tcW w:w="2547" w:type="dxa"/>
          </w:tcPr>
          <w:p w14:paraId="3D0331C5" w14:textId="482CDBFE" w:rsidR="003501F0" w:rsidRDefault="003501F0" w:rsidP="003501F0">
            <w:r>
              <w:t>Périodicité</w:t>
            </w:r>
          </w:p>
        </w:tc>
        <w:tc>
          <w:tcPr>
            <w:tcW w:w="7796" w:type="dxa"/>
          </w:tcPr>
          <w:p w14:paraId="3E99176D" w14:textId="126D1323" w:rsidR="003501F0" w:rsidRDefault="003501F0" w:rsidP="003501F0">
            <w:r>
              <w:t>Annuelle</w:t>
            </w:r>
          </w:p>
        </w:tc>
      </w:tr>
      <w:tr w:rsidR="003501F0" w14:paraId="1032B328" w14:textId="77777777" w:rsidTr="00E95AA7">
        <w:tc>
          <w:tcPr>
            <w:tcW w:w="2547" w:type="dxa"/>
          </w:tcPr>
          <w:p w14:paraId="1D53D84A" w14:textId="104DE116" w:rsidR="003501F0" w:rsidRDefault="003501F0" w:rsidP="003501F0">
            <w:r>
              <w:t>Modalités du contrôle</w:t>
            </w:r>
          </w:p>
        </w:tc>
        <w:tc>
          <w:tcPr>
            <w:tcW w:w="7796" w:type="dxa"/>
          </w:tcPr>
          <w:p w14:paraId="1EDDA276" w14:textId="6D77991C" w:rsidR="003501F0" w:rsidRPr="003501F0" w:rsidRDefault="003501F0" w:rsidP="003501F0">
            <w:pPr>
              <w:pStyle w:val="Paragraphedeliste"/>
              <w:numPr>
                <w:ilvl w:val="0"/>
                <w:numId w:val="1"/>
              </w:numPr>
              <w:autoSpaceDE w:val="0"/>
              <w:autoSpaceDN w:val="0"/>
              <w:adjustRightInd w:val="0"/>
              <w:rPr>
                <w:rFonts w:ascii="Calibri" w:hAnsi="Calibri" w:cs="Calibri"/>
                <w:color w:val="2C2A2A"/>
              </w:rPr>
            </w:pPr>
            <w:r w:rsidRPr="003501F0">
              <w:rPr>
                <w:rFonts w:ascii="Calibri" w:hAnsi="Calibri" w:cs="Calibri"/>
                <w:color w:val="2C2A2A"/>
              </w:rPr>
              <w:t>Ce contrôle doit être réalisé sur tous les scanographes dont les images sont couramment utilisées avec le logiciel de simulation ou module d’imagerie du TPS avec un des protocoles cliniques utilisés en routine.</w:t>
            </w:r>
          </w:p>
          <w:p w14:paraId="6193C1D6" w14:textId="1C9935B7" w:rsidR="003501F0" w:rsidRPr="003501F0" w:rsidRDefault="003501F0" w:rsidP="00E009C1">
            <w:pPr>
              <w:pStyle w:val="Paragraphedeliste"/>
              <w:numPr>
                <w:ilvl w:val="0"/>
                <w:numId w:val="1"/>
              </w:numPr>
              <w:autoSpaceDE w:val="0"/>
              <w:autoSpaceDN w:val="0"/>
              <w:adjustRightInd w:val="0"/>
              <w:rPr>
                <w:rFonts w:ascii="Calibri" w:hAnsi="Calibri" w:cs="Calibri"/>
                <w:color w:val="2C2A2A"/>
              </w:rPr>
            </w:pPr>
            <w:r w:rsidRPr="003501F0">
              <w:rPr>
                <w:rFonts w:ascii="Calibri" w:hAnsi="Calibri" w:cs="Calibri"/>
                <w:color w:val="2C2A2A"/>
              </w:rPr>
              <w:t>Réaliser une acquisition d’un fantôme équivalent eau contenant différentes hétérogénéités de densités électroniques connues représentatives des densités électroniques rencontrées en conditions cliniques, avec le</w:t>
            </w:r>
            <w:r>
              <w:rPr>
                <w:rFonts w:ascii="Calibri" w:hAnsi="Calibri" w:cs="Calibri"/>
                <w:color w:val="2C2A2A"/>
              </w:rPr>
              <w:t xml:space="preserve"> </w:t>
            </w:r>
            <w:r w:rsidRPr="003501F0">
              <w:rPr>
                <w:rFonts w:ascii="Calibri" w:hAnsi="Calibri" w:cs="Calibri"/>
                <w:color w:val="2C2A2A"/>
              </w:rPr>
              <w:t>protocole le plus utilisé pour la radiothérapie, au minimum.</w:t>
            </w:r>
          </w:p>
          <w:p w14:paraId="5142E943" w14:textId="44C1C9B5" w:rsidR="003501F0" w:rsidRPr="003501F0" w:rsidRDefault="003501F0" w:rsidP="00E009C1">
            <w:pPr>
              <w:pStyle w:val="Paragraphedeliste"/>
              <w:numPr>
                <w:ilvl w:val="0"/>
                <w:numId w:val="1"/>
              </w:numPr>
              <w:autoSpaceDE w:val="0"/>
              <w:autoSpaceDN w:val="0"/>
              <w:adjustRightInd w:val="0"/>
              <w:rPr>
                <w:rFonts w:ascii="Calibri" w:hAnsi="Calibri" w:cs="Calibri"/>
                <w:color w:val="2C2A2A"/>
              </w:rPr>
            </w:pPr>
            <w:r w:rsidRPr="003501F0">
              <w:rPr>
                <w:rFonts w:ascii="Calibri" w:hAnsi="Calibri" w:cs="Calibri"/>
                <w:color w:val="2C2A2A"/>
              </w:rPr>
              <w:t>Après transfert des images du scanner vers le logiciel de simulation ou le module d’imagerie, analyser les images avec le logiciel de simulation ou le module d’imagerie et établir la courbe de correspondance entre les</w:t>
            </w:r>
            <w:r>
              <w:rPr>
                <w:rFonts w:ascii="Calibri" w:hAnsi="Calibri" w:cs="Calibri"/>
                <w:color w:val="2C2A2A"/>
              </w:rPr>
              <w:t xml:space="preserve"> </w:t>
            </w:r>
            <w:r w:rsidRPr="003501F0">
              <w:rPr>
                <w:rFonts w:ascii="Calibri" w:hAnsi="Calibri" w:cs="Calibri"/>
                <w:color w:val="2C2A2A"/>
              </w:rPr>
              <w:t>unités Hounsfield (UH) et les densités électroniques des hétérogénéités du fantôme.</w:t>
            </w:r>
          </w:p>
          <w:p w14:paraId="64098D07" w14:textId="0CFF5B26" w:rsidR="003501F0" w:rsidRPr="003501F0" w:rsidRDefault="003501F0" w:rsidP="003501F0">
            <w:pPr>
              <w:pStyle w:val="Paragraphedeliste"/>
              <w:numPr>
                <w:ilvl w:val="0"/>
                <w:numId w:val="1"/>
              </w:numPr>
              <w:autoSpaceDE w:val="0"/>
              <w:autoSpaceDN w:val="0"/>
              <w:adjustRightInd w:val="0"/>
              <w:rPr>
                <w:rFonts w:ascii="Calibri" w:hAnsi="Calibri" w:cs="Calibri"/>
                <w:color w:val="2C2A2A"/>
              </w:rPr>
            </w:pPr>
            <w:r w:rsidRPr="003501F0">
              <w:rPr>
                <w:rFonts w:ascii="Calibri" w:hAnsi="Calibri" w:cs="Calibri"/>
                <w:color w:val="2C2A2A"/>
              </w:rPr>
              <w:t>Comparer la courbe obtenue le jour du contrôle avec celle obtenue lors du contrôle initial ou après changement du scanographe ou du système de planification de traitement.</w:t>
            </w:r>
          </w:p>
          <w:p w14:paraId="349D437C" w14:textId="6ABE17DC" w:rsidR="003501F0" w:rsidRPr="003501F0" w:rsidRDefault="003501F0" w:rsidP="003501F0">
            <w:pPr>
              <w:pStyle w:val="Paragraphedeliste"/>
              <w:numPr>
                <w:ilvl w:val="0"/>
                <w:numId w:val="1"/>
              </w:numPr>
              <w:rPr>
                <w:rFonts w:ascii="Calibri" w:hAnsi="Calibri" w:cs="Calibri"/>
              </w:rPr>
            </w:pPr>
            <w:r w:rsidRPr="003501F0">
              <w:rPr>
                <w:rFonts w:ascii="Calibri" w:hAnsi="Calibri" w:cs="Calibri"/>
                <w:color w:val="2C2A2A"/>
              </w:rPr>
              <w:t>Le même fantôme doit être utilisé à chaque contrôle avec les mêmes paramètres d’acquisition.</w:t>
            </w:r>
          </w:p>
        </w:tc>
      </w:tr>
      <w:tr w:rsidR="003501F0" w14:paraId="1522454B" w14:textId="77777777" w:rsidTr="00E95AA7">
        <w:tc>
          <w:tcPr>
            <w:tcW w:w="2547" w:type="dxa"/>
          </w:tcPr>
          <w:p w14:paraId="57571E57" w14:textId="7CFD34D2" w:rsidR="003501F0" w:rsidRDefault="003501F0" w:rsidP="003501F0">
            <w:r>
              <w:t>Critères d’acceptabilité</w:t>
            </w:r>
          </w:p>
        </w:tc>
        <w:tc>
          <w:tcPr>
            <w:tcW w:w="7796" w:type="dxa"/>
          </w:tcPr>
          <w:p w14:paraId="4433DFEC" w14:textId="23A7572C" w:rsidR="003501F0" w:rsidRDefault="003501F0" w:rsidP="003501F0">
            <w:r>
              <w:t xml:space="preserve">En cas d’écart supérieur à </w:t>
            </w:r>
            <m:oMath>
              <m:r>
                <w:rPr>
                  <w:rFonts w:ascii="Cambria Math" w:hAnsi="Cambria Math"/>
                </w:rPr>
                <m:t>±</m:t>
              </m:r>
            </m:oMath>
            <w:r>
              <w:rPr>
                <w:rFonts w:eastAsiaTheme="minorEastAsia"/>
              </w:rPr>
              <w:t xml:space="preserve"> 20 UH pour un nombre d’unités Hounsfield inférieur ou égal à 100 ou </w:t>
            </w:r>
            <m:oMath>
              <m:r>
                <w:rPr>
                  <w:rFonts w:ascii="Cambria Math" w:eastAsiaTheme="minorEastAsia" w:hAnsi="Cambria Math"/>
                </w:rPr>
                <m:t>±</m:t>
              </m:r>
            </m:oMath>
            <w:r>
              <w:rPr>
                <w:rFonts w:eastAsiaTheme="minorEastAsia"/>
              </w:rPr>
              <w:t xml:space="preserve"> 50 UH pour un nombre d’unités Hounsfield supérieur à 100 par rapport à la courbe obtenue lors du contrôle initial, mettre à jour la courbe de correspondance paramétrée dans le logiciel de simulation ou le module d’imagerie du TPS</w:t>
            </w:r>
          </w:p>
        </w:tc>
      </w:tr>
    </w:tbl>
    <w:p w14:paraId="75E7B96D" w14:textId="2FF19A86" w:rsidR="00A02171" w:rsidRDefault="00A02171" w:rsidP="00617F5F"/>
    <w:tbl>
      <w:tblPr>
        <w:tblStyle w:val="Grilledutableau"/>
        <w:tblW w:w="0" w:type="auto"/>
        <w:tblLook w:val="04A0" w:firstRow="1" w:lastRow="0" w:firstColumn="1" w:lastColumn="0" w:noHBand="0" w:noVBand="1"/>
      </w:tblPr>
      <w:tblGrid>
        <w:gridCol w:w="2547"/>
        <w:gridCol w:w="7909"/>
      </w:tblGrid>
      <w:tr w:rsidR="00BA2EFC" w14:paraId="4AAE2905" w14:textId="77777777" w:rsidTr="00E009C1">
        <w:tc>
          <w:tcPr>
            <w:tcW w:w="10456" w:type="dxa"/>
            <w:gridSpan w:val="2"/>
          </w:tcPr>
          <w:p w14:paraId="34E8310A" w14:textId="08A5AEA1" w:rsidR="00BA2EFC" w:rsidRPr="00BA2EFC" w:rsidRDefault="00BA2EFC" w:rsidP="00BA2EFC">
            <w:pPr>
              <w:jc w:val="center"/>
              <w:rPr>
                <w:b/>
              </w:rPr>
            </w:pPr>
            <w:r>
              <w:rPr>
                <w:b/>
              </w:rPr>
              <w:t>5.11 Système de planification de traitement</w:t>
            </w:r>
          </w:p>
        </w:tc>
      </w:tr>
      <w:tr w:rsidR="00BA2EFC" w14:paraId="2B802ADC" w14:textId="77777777" w:rsidTr="000975A2">
        <w:tc>
          <w:tcPr>
            <w:tcW w:w="2547" w:type="dxa"/>
          </w:tcPr>
          <w:p w14:paraId="16687D3C" w14:textId="523EA5C7" w:rsidR="00BA2EFC" w:rsidRDefault="00BA2EFC" w:rsidP="00617F5F">
            <w:r>
              <w:t>Périodicité</w:t>
            </w:r>
          </w:p>
        </w:tc>
        <w:tc>
          <w:tcPr>
            <w:tcW w:w="7909" w:type="dxa"/>
          </w:tcPr>
          <w:p w14:paraId="41992729" w14:textId="6096166B" w:rsidR="00BA2EFC" w:rsidRDefault="00BA2EFC" w:rsidP="00617F5F">
            <w:r>
              <w:t>Annuelle pour chaque énergie de chaque appareil utilisée cliniquement</w:t>
            </w:r>
          </w:p>
        </w:tc>
      </w:tr>
      <w:tr w:rsidR="00BA2EFC" w14:paraId="37B59F50" w14:textId="77777777" w:rsidTr="000975A2">
        <w:tc>
          <w:tcPr>
            <w:tcW w:w="2547" w:type="dxa"/>
          </w:tcPr>
          <w:p w14:paraId="6EF90107" w14:textId="00B15BC3" w:rsidR="00BA2EFC" w:rsidRDefault="00BA2EFC" w:rsidP="00617F5F">
            <w:r>
              <w:t>Modalités du contrôle</w:t>
            </w:r>
          </w:p>
        </w:tc>
        <w:tc>
          <w:tcPr>
            <w:tcW w:w="7909" w:type="dxa"/>
          </w:tcPr>
          <w:p w14:paraId="6EDAFA17" w14:textId="0B89EB79" w:rsidR="00BA2EFC" w:rsidRPr="000975A2" w:rsidRDefault="00BA2EFC" w:rsidP="000975A2">
            <w:pPr>
              <w:autoSpaceDE w:val="0"/>
              <w:autoSpaceDN w:val="0"/>
              <w:adjustRightInd w:val="0"/>
              <w:rPr>
                <w:rFonts w:cstheme="minorHAnsi"/>
                <w:color w:val="2C2A2A"/>
              </w:rPr>
            </w:pPr>
            <w:r w:rsidRPr="000975A2">
              <w:rPr>
                <w:rFonts w:cstheme="minorHAnsi"/>
                <w:color w:val="2C2A2A"/>
              </w:rPr>
              <w:t>Si le système de planification de traitement est utilisé pour plusieurs accélérateurs d’électrons, ce contrôle</w:t>
            </w:r>
            <w:r w:rsidR="000975A2" w:rsidRPr="000975A2">
              <w:rPr>
                <w:rFonts w:cstheme="minorHAnsi"/>
                <w:color w:val="2C2A2A"/>
              </w:rPr>
              <w:t xml:space="preserve"> </w:t>
            </w:r>
            <w:r w:rsidRPr="000975A2">
              <w:rPr>
                <w:rFonts w:cstheme="minorHAnsi"/>
                <w:color w:val="2C2A2A"/>
              </w:rPr>
              <w:t>doit être effectué avec un plan de traitement en photons et en électrons pour chaque accélérateur pour chaque</w:t>
            </w:r>
            <w:r w:rsidR="000975A2" w:rsidRPr="000975A2">
              <w:rPr>
                <w:rFonts w:cstheme="minorHAnsi"/>
                <w:color w:val="2C2A2A"/>
              </w:rPr>
              <w:t xml:space="preserve"> </w:t>
            </w:r>
            <w:r w:rsidRPr="000975A2">
              <w:rPr>
                <w:rFonts w:cstheme="minorHAnsi"/>
                <w:color w:val="2C2A2A"/>
              </w:rPr>
              <w:t>énergie utilisée cliniquement.</w:t>
            </w:r>
          </w:p>
          <w:p w14:paraId="545D3589" w14:textId="77777777" w:rsidR="00BA2EFC" w:rsidRPr="000975A2" w:rsidRDefault="00BA2EFC" w:rsidP="00BA2EFC">
            <w:pPr>
              <w:autoSpaceDE w:val="0"/>
              <w:autoSpaceDN w:val="0"/>
              <w:adjustRightInd w:val="0"/>
              <w:rPr>
                <w:rFonts w:cstheme="minorHAnsi"/>
                <w:color w:val="2C2A2A"/>
              </w:rPr>
            </w:pPr>
            <w:r w:rsidRPr="000975A2">
              <w:rPr>
                <w:rFonts w:cstheme="minorHAnsi"/>
                <w:color w:val="2C2A2A"/>
              </w:rPr>
              <w:lastRenderedPageBreak/>
              <w:t>Ce contrôle est un contrôle global de constance du calcul d’unité moniteur (UM) dans certaines conditions.</w:t>
            </w:r>
          </w:p>
          <w:p w14:paraId="3DC32035" w14:textId="3ECBA05D" w:rsidR="00BA2EFC" w:rsidRPr="000975A2" w:rsidRDefault="00BA2EFC" w:rsidP="00BA2EFC">
            <w:pPr>
              <w:autoSpaceDE w:val="0"/>
              <w:autoSpaceDN w:val="0"/>
              <w:adjustRightInd w:val="0"/>
              <w:rPr>
                <w:rFonts w:cstheme="minorHAnsi"/>
                <w:color w:val="2C2A2A"/>
              </w:rPr>
            </w:pPr>
            <w:r w:rsidRPr="000975A2">
              <w:rPr>
                <w:rFonts w:cstheme="minorHAnsi"/>
                <w:color w:val="2C2A2A"/>
              </w:rPr>
              <w:t>Avant sa mise en place et le premier contrôle de constance, il convient de s’être assuré, au préalable, par la</w:t>
            </w:r>
            <w:r w:rsidR="000975A2" w:rsidRPr="000975A2">
              <w:rPr>
                <w:rFonts w:cstheme="minorHAnsi"/>
                <w:color w:val="2C2A2A"/>
              </w:rPr>
              <w:t xml:space="preserve"> </w:t>
            </w:r>
            <w:r w:rsidRPr="000975A2">
              <w:rPr>
                <w:rFonts w:cstheme="minorHAnsi"/>
                <w:color w:val="2C2A2A"/>
              </w:rPr>
              <w:t>mesure, que le nombre d’UM calculé correspond effectivement au nombre d’UM délivré dans différentes</w:t>
            </w:r>
            <w:r w:rsidR="000975A2" w:rsidRPr="000975A2">
              <w:rPr>
                <w:rFonts w:cstheme="minorHAnsi"/>
                <w:color w:val="2C2A2A"/>
              </w:rPr>
              <w:t xml:space="preserve"> </w:t>
            </w:r>
            <w:r w:rsidRPr="000975A2">
              <w:rPr>
                <w:rFonts w:cstheme="minorHAnsi"/>
                <w:color w:val="2C2A2A"/>
              </w:rPr>
              <w:t>conditions, notamment pour les filtres en coin utilisés en routine clinique, les champs rectangulaires</w:t>
            </w:r>
            <w:r w:rsidR="000975A2" w:rsidRPr="000975A2">
              <w:rPr>
                <w:rFonts w:cstheme="minorHAnsi"/>
                <w:color w:val="2C2A2A"/>
              </w:rPr>
              <w:t xml:space="preserve"> </w:t>
            </w:r>
            <w:r w:rsidRPr="000975A2">
              <w:rPr>
                <w:rFonts w:cstheme="minorHAnsi"/>
                <w:color w:val="2C2A2A"/>
              </w:rPr>
              <w:t xml:space="preserve">bi-asymétriques, les champs complexes </w:t>
            </w:r>
            <w:proofErr w:type="spellStart"/>
            <w:r w:rsidRPr="000975A2">
              <w:rPr>
                <w:rFonts w:cstheme="minorHAnsi"/>
                <w:color w:val="2C2A2A"/>
              </w:rPr>
              <w:t>multilames</w:t>
            </w:r>
            <w:proofErr w:type="spellEnd"/>
            <w:r w:rsidRPr="000975A2">
              <w:rPr>
                <w:rFonts w:cstheme="minorHAnsi"/>
                <w:color w:val="2C2A2A"/>
              </w:rPr>
              <w:t xml:space="preserve"> bi-asymétriques, </w:t>
            </w:r>
            <w:proofErr w:type="gramStart"/>
            <w:r w:rsidRPr="000975A2">
              <w:rPr>
                <w:rFonts w:cstheme="minorHAnsi"/>
                <w:color w:val="2C2A2A"/>
              </w:rPr>
              <w:t>les faisceaux non coplanaire</w:t>
            </w:r>
            <w:proofErr w:type="gramEnd"/>
            <w:r w:rsidRPr="000975A2">
              <w:rPr>
                <w:rFonts w:cstheme="minorHAnsi"/>
                <w:color w:val="2C2A2A"/>
              </w:rPr>
              <w:t>, les bolus, etc.</w:t>
            </w:r>
          </w:p>
          <w:p w14:paraId="21E9D423" w14:textId="6476B34B" w:rsidR="00BA2EFC" w:rsidRPr="000975A2" w:rsidRDefault="00BA2EFC" w:rsidP="00BA2EFC">
            <w:pPr>
              <w:autoSpaceDE w:val="0"/>
              <w:autoSpaceDN w:val="0"/>
              <w:adjustRightInd w:val="0"/>
              <w:rPr>
                <w:rFonts w:cstheme="minorHAnsi"/>
                <w:color w:val="2C2A2A"/>
              </w:rPr>
            </w:pPr>
            <w:r w:rsidRPr="000975A2">
              <w:rPr>
                <w:rFonts w:cstheme="minorHAnsi"/>
                <w:color w:val="2C2A2A"/>
              </w:rPr>
              <w:t>A partir des images du fantôme utilisées lors du contrôle précédent, et après avoir sélectionné la correction</w:t>
            </w:r>
            <w:r w:rsidR="000975A2" w:rsidRPr="000975A2">
              <w:rPr>
                <w:rFonts w:cstheme="minorHAnsi"/>
                <w:color w:val="2C2A2A"/>
              </w:rPr>
              <w:t xml:space="preserve"> </w:t>
            </w:r>
            <w:r w:rsidRPr="000975A2">
              <w:rPr>
                <w:rFonts w:cstheme="minorHAnsi"/>
                <w:color w:val="2C2A2A"/>
              </w:rPr>
              <w:t>d’hétérogénéités couramment utilisée, un plan de traitement test en photons et en électrons, combinés le cas</w:t>
            </w:r>
            <w:r w:rsidR="000975A2" w:rsidRPr="000975A2">
              <w:rPr>
                <w:rFonts w:cstheme="minorHAnsi"/>
                <w:color w:val="2C2A2A"/>
              </w:rPr>
              <w:t xml:space="preserve"> </w:t>
            </w:r>
            <w:r w:rsidRPr="000975A2">
              <w:rPr>
                <w:rFonts w:cstheme="minorHAnsi"/>
                <w:color w:val="2C2A2A"/>
              </w:rPr>
              <w:t>échéant, doivent permettre de comparer les valeurs d’UM/Gy calculées le jour du contrôle avec les valeurs</w:t>
            </w:r>
            <w:r w:rsidR="000975A2" w:rsidRPr="000975A2">
              <w:rPr>
                <w:rFonts w:cstheme="minorHAnsi"/>
                <w:color w:val="2C2A2A"/>
              </w:rPr>
              <w:t xml:space="preserve"> </w:t>
            </w:r>
            <w:r w:rsidRPr="000975A2">
              <w:rPr>
                <w:rFonts w:cstheme="minorHAnsi"/>
                <w:color w:val="2C2A2A"/>
              </w:rPr>
              <w:t>déterminées lors du contrôle initial avec le même plan de traitement.</w:t>
            </w:r>
          </w:p>
          <w:p w14:paraId="70A0F71C" w14:textId="1B624C51" w:rsidR="00BA2EFC" w:rsidRPr="000975A2" w:rsidRDefault="00BA2EFC" w:rsidP="000975A2">
            <w:pPr>
              <w:autoSpaceDE w:val="0"/>
              <w:autoSpaceDN w:val="0"/>
              <w:adjustRightInd w:val="0"/>
              <w:rPr>
                <w:rFonts w:cstheme="minorHAnsi"/>
                <w:color w:val="2C2A2A"/>
              </w:rPr>
            </w:pPr>
            <w:r w:rsidRPr="000975A2">
              <w:rPr>
                <w:rFonts w:cstheme="minorHAnsi"/>
                <w:color w:val="2C2A2A"/>
              </w:rPr>
              <w:t>Pour chaque énergie de photons, le plan de traitement complexe test doit être constitué d’au moins 6</w:t>
            </w:r>
            <w:r w:rsidR="000975A2" w:rsidRPr="000975A2">
              <w:rPr>
                <w:rFonts w:cstheme="minorHAnsi"/>
                <w:color w:val="2C2A2A"/>
              </w:rPr>
              <w:t xml:space="preserve"> </w:t>
            </w:r>
            <w:r w:rsidRPr="000975A2">
              <w:rPr>
                <w:rFonts w:cstheme="minorHAnsi"/>
                <w:color w:val="2C2A2A"/>
              </w:rPr>
              <w:t>faisceaux de photons de même énergie et au minimum les caractéristiques suivantes :</w:t>
            </w:r>
          </w:p>
          <w:p w14:paraId="7626589B" w14:textId="30DF71BB" w:rsidR="00BA2EFC" w:rsidRPr="000975A2" w:rsidRDefault="00BA2EFC" w:rsidP="000975A2">
            <w:pPr>
              <w:pStyle w:val="Paragraphedeliste"/>
              <w:numPr>
                <w:ilvl w:val="0"/>
                <w:numId w:val="1"/>
              </w:numPr>
              <w:autoSpaceDE w:val="0"/>
              <w:autoSpaceDN w:val="0"/>
              <w:adjustRightInd w:val="0"/>
              <w:rPr>
                <w:rFonts w:cstheme="minorHAnsi"/>
                <w:color w:val="2C2A2A"/>
              </w:rPr>
            </w:pPr>
            <w:proofErr w:type="gramStart"/>
            <w:r w:rsidRPr="000975A2">
              <w:rPr>
                <w:rFonts w:cstheme="minorHAnsi"/>
                <w:color w:val="2C2A2A"/>
              </w:rPr>
              <w:t>un</w:t>
            </w:r>
            <w:proofErr w:type="gramEnd"/>
            <w:r w:rsidRPr="000975A2">
              <w:rPr>
                <w:rFonts w:cstheme="minorHAnsi"/>
                <w:color w:val="2C2A2A"/>
              </w:rPr>
              <w:t xml:space="preserve"> faisceau de référence avec un champ de 10 cm × 10 cm à la distance habituelle DSA ou DSS ;</w:t>
            </w:r>
          </w:p>
          <w:p w14:paraId="11E7898D" w14:textId="337F34BA" w:rsidR="00BA2EFC" w:rsidRPr="000975A2" w:rsidRDefault="00BA2EFC" w:rsidP="00E009C1">
            <w:pPr>
              <w:pStyle w:val="Paragraphedeliste"/>
              <w:numPr>
                <w:ilvl w:val="0"/>
                <w:numId w:val="1"/>
              </w:numPr>
              <w:autoSpaceDE w:val="0"/>
              <w:autoSpaceDN w:val="0"/>
              <w:adjustRightInd w:val="0"/>
              <w:rPr>
                <w:rFonts w:cstheme="minorHAnsi"/>
                <w:color w:val="2C2A2A"/>
              </w:rPr>
            </w:pPr>
            <w:proofErr w:type="gramStart"/>
            <w:r w:rsidRPr="000975A2">
              <w:rPr>
                <w:rFonts w:cstheme="minorHAnsi"/>
                <w:color w:val="2C2A2A"/>
              </w:rPr>
              <w:t>un</w:t>
            </w:r>
            <w:proofErr w:type="gramEnd"/>
            <w:r w:rsidRPr="000975A2">
              <w:rPr>
                <w:rFonts w:cstheme="minorHAnsi"/>
                <w:color w:val="2C2A2A"/>
              </w:rPr>
              <w:t xml:space="preserve"> faisceau avec un filtre en coin choisi parmi ceux utilisés avec un champ de 10 cm × 10 cm à la</w:t>
            </w:r>
            <w:r w:rsidR="000975A2" w:rsidRPr="000975A2">
              <w:rPr>
                <w:rFonts w:cstheme="minorHAnsi"/>
                <w:color w:val="2C2A2A"/>
              </w:rPr>
              <w:t xml:space="preserve"> </w:t>
            </w:r>
            <w:r w:rsidRPr="000975A2">
              <w:rPr>
                <w:rFonts w:cstheme="minorHAnsi"/>
                <w:color w:val="2C2A2A"/>
              </w:rPr>
              <w:t>distance habituelle DSA ou DSS ;</w:t>
            </w:r>
          </w:p>
          <w:p w14:paraId="7A94A11D" w14:textId="4B694E6D" w:rsidR="00BA2EFC" w:rsidRPr="000975A2" w:rsidRDefault="00BA2EFC" w:rsidP="000975A2">
            <w:pPr>
              <w:pStyle w:val="Paragraphedeliste"/>
              <w:numPr>
                <w:ilvl w:val="0"/>
                <w:numId w:val="1"/>
              </w:numPr>
              <w:autoSpaceDE w:val="0"/>
              <w:autoSpaceDN w:val="0"/>
              <w:adjustRightInd w:val="0"/>
              <w:rPr>
                <w:rFonts w:cstheme="minorHAnsi"/>
                <w:color w:val="2C2A2A"/>
              </w:rPr>
            </w:pPr>
            <w:proofErr w:type="gramStart"/>
            <w:r w:rsidRPr="000975A2">
              <w:rPr>
                <w:rFonts w:cstheme="minorHAnsi"/>
                <w:color w:val="2C2A2A"/>
              </w:rPr>
              <w:t>un</w:t>
            </w:r>
            <w:proofErr w:type="gramEnd"/>
            <w:r w:rsidRPr="000975A2">
              <w:rPr>
                <w:rFonts w:cstheme="minorHAnsi"/>
                <w:color w:val="2C2A2A"/>
              </w:rPr>
              <w:t xml:space="preserve"> faisceau avec un champ rectangulaire bi-asymétrique (mâchoires) ;</w:t>
            </w:r>
          </w:p>
          <w:p w14:paraId="1AC254AC" w14:textId="44227855" w:rsidR="00BA2EFC" w:rsidRPr="000975A2" w:rsidRDefault="00BA2EFC" w:rsidP="00E009C1">
            <w:pPr>
              <w:pStyle w:val="Paragraphedeliste"/>
              <w:numPr>
                <w:ilvl w:val="0"/>
                <w:numId w:val="1"/>
              </w:numPr>
              <w:autoSpaceDE w:val="0"/>
              <w:autoSpaceDN w:val="0"/>
              <w:adjustRightInd w:val="0"/>
              <w:rPr>
                <w:rFonts w:cstheme="minorHAnsi"/>
                <w:color w:val="2C2A2A"/>
              </w:rPr>
            </w:pPr>
            <w:proofErr w:type="gramStart"/>
            <w:r w:rsidRPr="000975A2">
              <w:rPr>
                <w:rFonts w:cstheme="minorHAnsi"/>
                <w:color w:val="2C2A2A"/>
              </w:rPr>
              <w:t>un</w:t>
            </w:r>
            <w:proofErr w:type="gramEnd"/>
            <w:r w:rsidRPr="000975A2">
              <w:rPr>
                <w:rFonts w:cstheme="minorHAnsi"/>
                <w:color w:val="2C2A2A"/>
              </w:rPr>
              <w:t xml:space="preserve"> faisceau avec un champ complexe </w:t>
            </w:r>
            <w:proofErr w:type="spellStart"/>
            <w:r w:rsidRPr="000975A2">
              <w:rPr>
                <w:rFonts w:cstheme="minorHAnsi"/>
                <w:color w:val="2C2A2A"/>
              </w:rPr>
              <w:t>multilames</w:t>
            </w:r>
            <w:proofErr w:type="spellEnd"/>
            <w:r w:rsidRPr="000975A2">
              <w:rPr>
                <w:rFonts w:cstheme="minorHAnsi"/>
                <w:color w:val="2C2A2A"/>
              </w:rPr>
              <w:t xml:space="preserve"> bi-asymétrique, par exemple en forme de « L » allongé,</w:t>
            </w:r>
            <w:r w:rsidR="000975A2" w:rsidRPr="000975A2">
              <w:rPr>
                <w:rFonts w:cstheme="minorHAnsi"/>
                <w:color w:val="2C2A2A"/>
              </w:rPr>
              <w:t xml:space="preserve"> </w:t>
            </w:r>
            <w:r w:rsidRPr="000975A2">
              <w:rPr>
                <w:rFonts w:cstheme="minorHAnsi"/>
                <w:color w:val="2C2A2A"/>
              </w:rPr>
              <w:t xml:space="preserve">ou si l’installation ne dispose pas de collimateur </w:t>
            </w:r>
            <w:proofErr w:type="spellStart"/>
            <w:r w:rsidRPr="000975A2">
              <w:rPr>
                <w:rFonts w:cstheme="minorHAnsi"/>
                <w:color w:val="2C2A2A"/>
              </w:rPr>
              <w:t>multilames</w:t>
            </w:r>
            <w:proofErr w:type="spellEnd"/>
            <w:r w:rsidRPr="000975A2">
              <w:rPr>
                <w:rFonts w:cstheme="minorHAnsi"/>
                <w:color w:val="2C2A2A"/>
              </w:rPr>
              <w:t xml:space="preserve"> avec un bloc de conformation ;</w:t>
            </w:r>
          </w:p>
          <w:p w14:paraId="2C36F80B" w14:textId="27C10C9B" w:rsidR="00BA2EFC" w:rsidRPr="000975A2" w:rsidRDefault="00BA2EFC" w:rsidP="000975A2">
            <w:pPr>
              <w:pStyle w:val="Paragraphedeliste"/>
              <w:numPr>
                <w:ilvl w:val="0"/>
                <w:numId w:val="1"/>
              </w:numPr>
              <w:autoSpaceDE w:val="0"/>
              <w:autoSpaceDN w:val="0"/>
              <w:adjustRightInd w:val="0"/>
              <w:rPr>
                <w:rFonts w:cstheme="minorHAnsi"/>
                <w:color w:val="2C2A2A"/>
              </w:rPr>
            </w:pPr>
            <w:proofErr w:type="gramStart"/>
            <w:r w:rsidRPr="000975A2">
              <w:rPr>
                <w:rFonts w:cstheme="minorHAnsi"/>
                <w:color w:val="2C2A2A"/>
              </w:rPr>
              <w:t>un</w:t>
            </w:r>
            <w:proofErr w:type="gramEnd"/>
            <w:r w:rsidRPr="000975A2">
              <w:rPr>
                <w:rFonts w:cstheme="minorHAnsi"/>
                <w:color w:val="2C2A2A"/>
              </w:rPr>
              <w:t xml:space="preserve"> faisceau non coplanaire ;</w:t>
            </w:r>
          </w:p>
          <w:p w14:paraId="7EDDA162" w14:textId="477E4DDC" w:rsidR="00BA2EFC" w:rsidRPr="000975A2" w:rsidRDefault="00BA2EFC" w:rsidP="000975A2">
            <w:pPr>
              <w:pStyle w:val="Paragraphedeliste"/>
              <w:numPr>
                <w:ilvl w:val="0"/>
                <w:numId w:val="1"/>
              </w:numPr>
              <w:rPr>
                <w:rFonts w:cstheme="minorHAnsi"/>
                <w:color w:val="2C2A2A"/>
              </w:rPr>
            </w:pPr>
            <w:proofErr w:type="gramStart"/>
            <w:r w:rsidRPr="000975A2">
              <w:rPr>
                <w:rFonts w:cstheme="minorHAnsi"/>
                <w:color w:val="2C2A2A"/>
              </w:rPr>
              <w:t>un</w:t>
            </w:r>
            <w:proofErr w:type="gramEnd"/>
            <w:r w:rsidRPr="000975A2">
              <w:rPr>
                <w:rFonts w:cstheme="minorHAnsi"/>
                <w:color w:val="2C2A2A"/>
              </w:rPr>
              <w:t xml:space="preserve"> bolus.</w:t>
            </w:r>
          </w:p>
          <w:p w14:paraId="2C39B16B" w14:textId="77777777" w:rsidR="00BA2EFC" w:rsidRPr="000975A2" w:rsidRDefault="00BA2EFC" w:rsidP="00BA2EFC">
            <w:pPr>
              <w:autoSpaceDE w:val="0"/>
              <w:autoSpaceDN w:val="0"/>
              <w:adjustRightInd w:val="0"/>
              <w:rPr>
                <w:rFonts w:cstheme="minorHAnsi"/>
                <w:color w:val="2C2A2A"/>
              </w:rPr>
            </w:pPr>
            <w:r w:rsidRPr="000975A2">
              <w:rPr>
                <w:rFonts w:cstheme="minorHAnsi"/>
                <w:color w:val="2C2A2A"/>
              </w:rPr>
              <w:t>Le calcul doit être réalisé pour une dose au point de référence d’environ 10 Gy.</w:t>
            </w:r>
          </w:p>
          <w:p w14:paraId="1B28CD73" w14:textId="11A63ACA" w:rsidR="00BA2EFC" w:rsidRPr="000975A2" w:rsidRDefault="00BA2EFC" w:rsidP="00BA2EFC">
            <w:pPr>
              <w:autoSpaceDE w:val="0"/>
              <w:autoSpaceDN w:val="0"/>
              <w:adjustRightInd w:val="0"/>
              <w:rPr>
                <w:rFonts w:cstheme="minorHAnsi"/>
                <w:color w:val="2C2A2A"/>
              </w:rPr>
            </w:pPr>
            <w:r w:rsidRPr="000975A2">
              <w:rPr>
                <w:rFonts w:cstheme="minorHAnsi"/>
                <w:color w:val="2C2A2A"/>
              </w:rPr>
              <w:t>Le point de calcul doit se trouver en dehors des hétérogénéités mais les faisceaux doivent passer par les</w:t>
            </w:r>
            <w:r w:rsidR="000975A2" w:rsidRPr="000975A2">
              <w:rPr>
                <w:rFonts w:cstheme="minorHAnsi"/>
                <w:color w:val="2C2A2A"/>
              </w:rPr>
              <w:t xml:space="preserve"> </w:t>
            </w:r>
            <w:r w:rsidRPr="000975A2">
              <w:rPr>
                <w:rFonts w:cstheme="minorHAnsi"/>
                <w:color w:val="2C2A2A"/>
              </w:rPr>
              <w:t>hétérogénéités.</w:t>
            </w:r>
          </w:p>
          <w:p w14:paraId="504A63D0" w14:textId="3559C6CF" w:rsidR="00BA2EFC" w:rsidRPr="000975A2" w:rsidRDefault="00BA2EFC" w:rsidP="00BA2EFC">
            <w:pPr>
              <w:autoSpaceDE w:val="0"/>
              <w:autoSpaceDN w:val="0"/>
              <w:adjustRightInd w:val="0"/>
              <w:rPr>
                <w:rFonts w:cstheme="minorHAnsi"/>
                <w:color w:val="2C2A2A"/>
              </w:rPr>
            </w:pPr>
            <w:r w:rsidRPr="000975A2">
              <w:rPr>
                <w:rFonts w:cstheme="minorHAnsi"/>
                <w:color w:val="2C2A2A"/>
              </w:rPr>
              <w:t>Pour chaque énergie d’électrons, le plan de traitement test de faisceaux d’électrons doit être constitué d’au</w:t>
            </w:r>
            <w:r w:rsidR="000975A2" w:rsidRPr="000975A2">
              <w:rPr>
                <w:rFonts w:cstheme="minorHAnsi"/>
                <w:color w:val="2C2A2A"/>
              </w:rPr>
              <w:t xml:space="preserve"> </w:t>
            </w:r>
            <w:r w:rsidRPr="000975A2">
              <w:rPr>
                <w:rFonts w:cstheme="minorHAnsi"/>
                <w:color w:val="2C2A2A"/>
              </w:rPr>
              <w:t>moins 3 faisceaux de même énergie avec les caractéristiques suivantes :</w:t>
            </w:r>
          </w:p>
          <w:p w14:paraId="50E40564" w14:textId="75913E36" w:rsidR="00BA2EFC" w:rsidRPr="000975A2" w:rsidRDefault="00BA2EFC" w:rsidP="000975A2">
            <w:pPr>
              <w:pStyle w:val="Paragraphedeliste"/>
              <w:numPr>
                <w:ilvl w:val="0"/>
                <w:numId w:val="1"/>
              </w:numPr>
              <w:autoSpaceDE w:val="0"/>
              <w:autoSpaceDN w:val="0"/>
              <w:adjustRightInd w:val="0"/>
              <w:rPr>
                <w:rFonts w:cstheme="minorHAnsi"/>
                <w:color w:val="2C2A2A"/>
              </w:rPr>
            </w:pPr>
            <w:proofErr w:type="gramStart"/>
            <w:r w:rsidRPr="000975A2">
              <w:rPr>
                <w:rFonts w:cstheme="minorHAnsi"/>
                <w:color w:val="2C2A2A"/>
              </w:rPr>
              <w:t>un</w:t>
            </w:r>
            <w:proofErr w:type="gramEnd"/>
            <w:r w:rsidRPr="000975A2">
              <w:rPr>
                <w:rFonts w:cstheme="minorHAnsi"/>
                <w:color w:val="2C2A2A"/>
              </w:rPr>
              <w:t xml:space="preserve"> faisceau de référence avec un champ de 10 cm × 10 cm ;</w:t>
            </w:r>
          </w:p>
          <w:p w14:paraId="56AFBD92" w14:textId="6374125A" w:rsidR="00BA2EFC" w:rsidRPr="000975A2" w:rsidRDefault="00BA2EFC" w:rsidP="000975A2">
            <w:pPr>
              <w:pStyle w:val="Paragraphedeliste"/>
              <w:numPr>
                <w:ilvl w:val="0"/>
                <w:numId w:val="1"/>
              </w:numPr>
              <w:autoSpaceDE w:val="0"/>
              <w:autoSpaceDN w:val="0"/>
              <w:adjustRightInd w:val="0"/>
              <w:rPr>
                <w:rFonts w:cstheme="minorHAnsi"/>
                <w:color w:val="2C2A2A"/>
              </w:rPr>
            </w:pPr>
            <w:proofErr w:type="gramStart"/>
            <w:r w:rsidRPr="000975A2">
              <w:rPr>
                <w:rFonts w:cstheme="minorHAnsi"/>
                <w:color w:val="2C2A2A"/>
              </w:rPr>
              <w:t>un</w:t>
            </w:r>
            <w:proofErr w:type="gramEnd"/>
            <w:r w:rsidRPr="000975A2">
              <w:rPr>
                <w:rFonts w:cstheme="minorHAnsi"/>
                <w:color w:val="2C2A2A"/>
              </w:rPr>
              <w:t xml:space="preserve"> champ rectangulaire ;</w:t>
            </w:r>
          </w:p>
          <w:p w14:paraId="2F0867A0" w14:textId="38F5414D" w:rsidR="00BA2EFC" w:rsidRPr="000975A2" w:rsidRDefault="00BA2EFC" w:rsidP="000975A2">
            <w:pPr>
              <w:pStyle w:val="Paragraphedeliste"/>
              <w:numPr>
                <w:ilvl w:val="0"/>
                <w:numId w:val="1"/>
              </w:numPr>
              <w:autoSpaceDE w:val="0"/>
              <w:autoSpaceDN w:val="0"/>
              <w:adjustRightInd w:val="0"/>
              <w:rPr>
                <w:rFonts w:cstheme="minorHAnsi"/>
                <w:color w:val="2C2A2A"/>
              </w:rPr>
            </w:pPr>
            <w:proofErr w:type="gramStart"/>
            <w:r w:rsidRPr="000975A2">
              <w:rPr>
                <w:rFonts w:cstheme="minorHAnsi"/>
                <w:color w:val="2C2A2A"/>
              </w:rPr>
              <w:t>un</w:t>
            </w:r>
            <w:proofErr w:type="gramEnd"/>
            <w:r w:rsidRPr="000975A2">
              <w:rPr>
                <w:rFonts w:cstheme="minorHAnsi"/>
                <w:color w:val="2C2A2A"/>
              </w:rPr>
              <w:t xml:space="preserve"> bolus.</w:t>
            </w:r>
          </w:p>
          <w:p w14:paraId="707C39F1" w14:textId="77777777" w:rsidR="00BA2EFC" w:rsidRPr="000975A2" w:rsidRDefault="00BA2EFC" w:rsidP="00BA2EFC">
            <w:pPr>
              <w:autoSpaceDE w:val="0"/>
              <w:autoSpaceDN w:val="0"/>
              <w:adjustRightInd w:val="0"/>
              <w:rPr>
                <w:rFonts w:cstheme="minorHAnsi"/>
                <w:color w:val="2C2A2A"/>
              </w:rPr>
            </w:pPr>
            <w:r w:rsidRPr="000975A2">
              <w:rPr>
                <w:rFonts w:cstheme="minorHAnsi"/>
                <w:color w:val="2C2A2A"/>
              </w:rPr>
              <w:t>Le calcul doit être réalisé pour une dose au point de référence d’environ 10 Gy.</w:t>
            </w:r>
          </w:p>
          <w:p w14:paraId="61A951D7" w14:textId="6776221E" w:rsidR="00BA2EFC" w:rsidRPr="000975A2" w:rsidRDefault="00BA2EFC" w:rsidP="000975A2">
            <w:pPr>
              <w:autoSpaceDE w:val="0"/>
              <w:autoSpaceDN w:val="0"/>
              <w:adjustRightInd w:val="0"/>
              <w:rPr>
                <w:rFonts w:cstheme="minorHAnsi"/>
              </w:rPr>
            </w:pPr>
            <w:r w:rsidRPr="000975A2">
              <w:rPr>
                <w:rFonts w:cstheme="minorHAnsi"/>
                <w:color w:val="2C2A2A"/>
              </w:rPr>
              <w:t>Le point de calcul doit se trouver en dehors des hétérogénéités mais les faisceaux doivent passer par les</w:t>
            </w:r>
            <w:r w:rsidR="000975A2" w:rsidRPr="000975A2">
              <w:rPr>
                <w:rFonts w:cstheme="minorHAnsi"/>
                <w:color w:val="2C2A2A"/>
              </w:rPr>
              <w:t xml:space="preserve"> </w:t>
            </w:r>
            <w:r w:rsidRPr="000975A2">
              <w:rPr>
                <w:rFonts w:cstheme="minorHAnsi"/>
                <w:color w:val="2C2A2A"/>
              </w:rPr>
              <w:t>hétérogénéités.</w:t>
            </w:r>
          </w:p>
        </w:tc>
      </w:tr>
      <w:tr w:rsidR="00BA2EFC" w14:paraId="42231DEC" w14:textId="77777777" w:rsidTr="000975A2">
        <w:tc>
          <w:tcPr>
            <w:tcW w:w="2547" w:type="dxa"/>
          </w:tcPr>
          <w:p w14:paraId="4DADA3B7" w14:textId="2CEF42C3" w:rsidR="00BA2EFC" w:rsidRDefault="000975A2" w:rsidP="00617F5F">
            <w:r>
              <w:lastRenderedPageBreak/>
              <w:t>Critères d’acceptabilité</w:t>
            </w:r>
          </w:p>
        </w:tc>
        <w:tc>
          <w:tcPr>
            <w:tcW w:w="7909" w:type="dxa"/>
          </w:tcPr>
          <w:p w14:paraId="196E93A7" w14:textId="70685099" w:rsidR="00BA2EFC" w:rsidRDefault="000975A2" w:rsidP="000975A2">
            <w:r>
              <w:t xml:space="preserve">Pour chaque faisceau indépendamment, un écart de </w:t>
            </w:r>
            <m:oMath>
              <m:r>
                <w:rPr>
                  <w:rFonts w:ascii="Cambria Math" w:hAnsi="Cambria Math"/>
                </w:rPr>
                <m:t>±</m:t>
              </m:r>
            </m:oMath>
            <w:r>
              <w:rPr>
                <w:rFonts w:eastAsiaTheme="minorEastAsia"/>
              </w:rPr>
              <w:t xml:space="preserve"> UM/Gy entre le contrôle initial et le contrôle périodique constitue une non-conformité, nécessitant une remise en conformité</w:t>
            </w:r>
          </w:p>
        </w:tc>
      </w:tr>
      <w:tr w:rsidR="000975A2" w14:paraId="126F509B" w14:textId="77777777" w:rsidTr="00E009C1">
        <w:tc>
          <w:tcPr>
            <w:tcW w:w="10456" w:type="dxa"/>
            <w:gridSpan w:val="2"/>
          </w:tcPr>
          <w:p w14:paraId="20A91AA1" w14:textId="4FB2F3E6" w:rsidR="000975A2" w:rsidRPr="000975A2" w:rsidRDefault="000975A2" w:rsidP="000975A2">
            <w:pPr>
              <w:jc w:val="center"/>
              <w:rPr>
                <w:b/>
              </w:rPr>
            </w:pPr>
            <w:r>
              <w:rPr>
                <w:b/>
              </w:rPr>
              <w:t>5.12 Systèmes de vérification et d’enregistrement des données</w:t>
            </w:r>
          </w:p>
        </w:tc>
      </w:tr>
      <w:tr w:rsidR="000975A2" w14:paraId="449056C5" w14:textId="77777777" w:rsidTr="000975A2">
        <w:tc>
          <w:tcPr>
            <w:tcW w:w="2547" w:type="dxa"/>
          </w:tcPr>
          <w:p w14:paraId="0E77BA98" w14:textId="49DC43DA" w:rsidR="000975A2" w:rsidRDefault="000975A2" w:rsidP="00617F5F">
            <w:r>
              <w:t>Périodicité</w:t>
            </w:r>
          </w:p>
        </w:tc>
        <w:tc>
          <w:tcPr>
            <w:tcW w:w="7909" w:type="dxa"/>
          </w:tcPr>
          <w:p w14:paraId="223E214D" w14:textId="0B481A62" w:rsidR="000975A2" w:rsidRDefault="000975A2" w:rsidP="00617F5F">
            <w:r>
              <w:t>Annuelle</w:t>
            </w:r>
          </w:p>
        </w:tc>
      </w:tr>
      <w:tr w:rsidR="000975A2" w14:paraId="043DBA00" w14:textId="77777777" w:rsidTr="000975A2">
        <w:tc>
          <w:tcPr>
            <w:tcW w:w="2547" w:type="dxa"/>
          </w:tcPr>
          <w:p w14:paraId="4A1FA491" w14:textId="0AC8BC09" w:rsidR="000975A2" w:rsidRDefault="000975A2" w:rsidP="00617F5F">
            <w:r>
              <w:t>Modalités du contrôle</w:t>
            </w:r>
          </w:p>
        </w:tc>
        <w:tc>
          <w:tcPr>
            <w:tcW w:w="7909" w:type="dxa"/>
          </w:tcPr>
          <w:p w14:paraId="7AC17A67" w14:textId="264BD541" w:rsidR="000975A2" w:rsidRPr="000975A2" w:rsidRDefault="000975A2" w:rsidP="000975A2">
            <w:pPr>
              <w:autoSpaceDE w:val="0"/>
              <w:autoSpaceDN w:val="0"/>
              <w:adjustRightInd w:val="0"/>
              <w:rPr>
                <w:rFonts w:cstheme="minorHAnsi"/>
                <w:color w:val="2C2A2A"/>
              </w:rPr>
            </w:pPr>
            <w:r w:rsidRPr="000975A2">
              <w:rPr>
                <w:rFonts w:cstheme="minorHAnsi"/>
                <w:color w:val="2C2A2A"/>
              </w:rPr>
              <w:t>Ce contrôle est un contrôle global de constance du transfert de certains paramètres. Avant sa mise en place</w:t>
            </w:r>
            <w:r>
              <w:rPr>
                <w:rFonts w:cstheme="minorHAnsi"/>
                <w:color w:val="2C2A2A"/>
              </w:rPr>
              <w:t xml:space="preserve"> </w:t>
            </w:r>
            <w:r w:rsidRPr="000975A2">
              <w:rPr>
                <w:rFonts w:cstheme="minorHAnsi"/>
                <w:color w:val="2C2A2A"/>
              </w:rPr>
              <w:t>et le premier contrôle de constance, il convient de s’être assuré, au préalable, par la mesure, que le nombre</w:t>
            </w:r>
            <w:r>
              <w:rPr>
                <w:rFonts w:cstheme="minorHAnsi"/>
                <w:color w:val="2C2A2A"/>
              </w:rPr>
              <w:t xml:space="preserve"> </w:t>
            </w:r>
            <w:r w:rsidRPr="000975A2">
              <w:rPr>
                <w:rFonts w:cstheme="minorHAnsi"/>
                <w:color w:val="2C2A2A"/>
              </w:rPr>
              <w:t xml:space="preserve">d’UM calculé correspond </w:t>
            </w:r>
            <w:r>
              <w:rPr>
                <w:rFonts w:cstheme="minorHAnsi"/>
                <w:color w:val="2C2A2A"/>
              </w:rPr>
              <w:t>e</w:t>
            </w:r>
            <w:r w:rsidRPr="000975A2">
              <w:rPr>
                <w:rFonts w:cstheme="minorHAnsi"/>
                <w:color w:val="2C2A2A"/>
              </w:rPr>
              <w:t>ffectivement au nombre d’UM délivré dans différentes conditions, notamment, pour</w:t>
            </w:r>
            <w:r>
              <w:rPr>
                <w:rFonts w:cstheme="minorHAnsi"/>
                <w:color w:val="2C2A2A"/>
              </w:rPr>
              <w:t xml:space="preserve"> </w:t>
            </w:r>
            <w:r w:rsidRPr="000975A2">
              <w:rPr>
                <w:rFonts w:cstheme="minorHAnsi"/>
                <w:color w:val="2C2A2A"/>
              </w:rPr>
              <w:t>les filtres en coin utilisés en routine clinique, les champs rectangulaires bi-</w:t>
            </w:r>
            <w:r>
              <w:rPr>
                <w:rFonts w:cstheme="minorHAnsi"/>
                <w:color w:val="2C2A2A"/>
              </w:rPr>
              <w:t>a</w:t>
            </w:r>
            <w:r w:rsidRPr="000975A2">
              <w:rPr>
                <w:rFonts w:cstheme="minorHAnsi"/>
                <w:color w:val="2C2A2A"/>
              </w:rPr>
              <w:t>symétriques, les champs complexes</w:t>
            </w:r>
            <w:r>
              <w:rPr>
                <w:rFonts w:cstheme="minorHAnsi"/>
                <w:color w:val="2C2A2A"/>
              </w:rPr>
              <w:t xml:space="preserve"> </w:t>
            </w:r>
            <w:proofErr w:type="spellStart"/>
            <w:r w:rsidRPr="000975A2">
              <w:rPr>
                <w:rFonts w:cstheme="minorHAnsi"/>
                <w:color w:val="2C2A2A"/>
              </w:rPr>
              <w:t>multilames</w:t>
            </w:r>
            <w:proofErr w:type="spellEnd"/>
            <w:r w:rsidRPr="000975A2">
              <w:rPr>
                <w:rFonts w:cstheme="minorHAnsi"/>
                <w:color w:val="2C2A2A"/>
              </w:rPr>
              <w:t xml:space="preserve"> bi-asymétriques, </w:t>
            </w:r>
            <w:proofErr w:type="gramStart"/>
            <w:r w:rsidRPr="000975A2">
              <w:rPr>
                <w:rFonts w:cstheme="minorHAnsi"/>
                <w:color w:val="2C2A2A"/>
              </w:rPr>
              <w:t>les faisceaux non coplanaire</w:t>
            </w:r>
            <w:proofErr w:type="gramEnd"/>
            <w:r w:rsidRPr="000975A2">
              <w:rPr>
                <w:rFonts w:cstheme="minorHAnsi"/>
                <w:color w:val="2C2A2A"/>
              </w:rPr>
              <w:t>, les bolus, etc.</w:t>
            </w:r>
          </w:p>
          <w:p w14:paraId="6C77BC4C" w14:textId="05E75E17" w:rsidR="000975A2" w:rsidRPr="000975A2" w:rsidRDefault="000975A2" w:rsidP="000975A2">
            <w:pPr>
              <w:autoSpaceDE w:val="0"/>
              <w:autoSpaceDN w:val="0"/>
              <w:adjustRightInd w:val="0"/>
              <w:rPr>
                <w:rFonts w:cstheme="minorHAnsi"/>
                <w:color w:val="2C2A2A"/>
              </w:rPr>
            </w:pPr>
            <w:r w:rsidRPr="000975A2">
              <w:rPr>
                <w:rFonts w:cstheme="minorHAnsi"/>
                <w:color w:val="2C2A2A"/>
              </w:rPr>
              <w:t>Exporter les plans de traitement test utilisés lors du contrôle précédent sur</w:t>
            </w:r>
            <w:r>
              <w:rPr>
                <w:rFonts w:cstheme="minorHAnsi"/>
                <w:color w:val="2C2A2A"/>
              </w:rPr>
              <w:t xml:space="preserve"> </w:t>
            </w:r>
            <w:r w:rsidRPr="000975A2">
              <w:rPr>
                <w:rFonts w:cstheme="minorHAnsi"/>
                <w:color w:val="2C2A2A"/>
              </w:rPr>
              <w:t>l’accélérateur d’électrons</w:t>
            </w:r>
            <w:r>
              <w:rPr>
                <w:rFonts w:cstheme="minorHAnsi"/>
                <w:color w:val="2C2A2A"/>
              </w:rPr>
              <w:t xml:space="preserve"> </w:t>
            </w:r>
            <w:r w:rsidRPr="000975A2">
              <w:rPr>
                <w:rFonts w:cstheme="minorHAnsi"/>
                <w:color w:val="2C2A2A"/>
              </w:rPr>
              <w:t>considéré.</w:t>
            </w:r>
          </w:p>
          <w:p w14:paraId="3548562F" w14:textId="3AB27635" w:rsidR="000975A2" w:rsidRPr="000975A2" w:rsidRDefault="000975A2" w:rsidP="000975A2">
            <w:pPr>
              <w:autoSpaceDE w:val="0"/>
              <w:autoSpaceDN w:val="0"/>
              <w:adjustRightInd w:val="0"/>
              <w:rPr>
                <w:rFonts w:cstheme="minorHAnsi"/>
                <w:color w:val="2C2A2A"/>
              </w:rPr>
            </w:pPr>
            <w:r w:rsidRPr="000975A2">
              <w:rPr>
                <w:rFonts w:cstheme="minorHAnsi"/>
                <w:color w:val="2C2A2A"/>
              </w:rPr>
              <w:t>Vérifier que la totalité des informations nécessaires du plan de traitement ont été correctement transférées</w:t>
            </w:r>
            <w:r>
              <w:rPr>
                <w:rFonts w:cstheme="minorHAnsi"/>
                <w:color w:val="2C2A2A"/>
              </w:rPr>
              <w:t xml:space="preserve"> </w:t>
            </w:r>
            <w:r w:rsidRPr="000975A2">
              <w:rPr>
                <w:rFonts w:cstheme="minorHAnsi"/>
                <w:color w:val="2C2A2A"/>
              </w:rPr>
              <w:t>vers l’installation considérée, y compris les informations entrées manuellement et en particulier les informations</w:t>
            </w:r>
            <w:r>
              <w:rPr>
                <w:rFonts w:cstheme="minorHAnsi"/>
                <w:color w:val="2C2A2A"/>
              </w:rPr>
              <w:t xml:space="preserve"> </w:t>
            </w:r>
            <w:r w:rsidRPr="000975A2">
              <w:rPr>
                <w:rFonts w:cstheme="minorHAnsi"/>
                <w:color w:val="2C2A2A"/>
              </w:rPr>
              <w:t>concernant :</w:t>
            </w:r>
          </w:p>
          <w:p w14:paraId="331F162D" w14:textId="77777777" w:rsidR="000975A2" w:rsidRPr="000975A2" w:rsidRDefault="000975A2" w:rsidP="000975A2">
            <w:pPr>
              <w:autoSpaceDE w:val="0"/>
              <w:autoSpaceDN w:val="0"/>
              <w:adjustRightInd w:val="0"/>
              <w:rPr>
                <w:rFonts w:cstheme="minorHAnsi"/>
                <w:color w:val="2C2A2A"/>
              </w:rPr>
            </w:pPr>
            <w:r w:rsidRPr="000975A2">
              <w:rPr>
                <w:rFonts w:cstheme="minorHAnsi"/>
                <w:color w:val="2C2A2A"/>
              </w:rPr>
              <w:t>– les coordonnées relatives au positionnement des champs, du collimateur, de la table et du bras ;</w:t>
            </w:r>
          </w:p>
          <w:p w14:paraId="4AA292AA" w14:textId="77777777" w:rsidR="000975A2" w:rsidRPr="000975A2" w:rsidRDefault="000975A2" w:rsidP="000975A2">
            <w:pPr>
              <w:autoSpaceDE w:val="0"/>
              <w:autoSpaceDN w:val="0"/>
              <w:adjustRightInd w:val="0"/>
              <w:rPr>
                <w:rFonts w:cstheme="minorHAnsi"/>
                <w:color w:val="2C2A2A"/>
              </w:rPr>
            </w:pPr>
            <w:r w:rsidRPr="000975A2">
              <w:rPr>
                <w:rFonts w:cstheme="minorHAnsi"/>
                <w:color w:val="2C2A2A"/>
              </w:rPr>
              <w:lastRenderedPageBreak/>
              <w:t>– l’énergie des faisceaux ;</w:t>
            </w:r>
          </w:p>
          <w:p w14:paraId="374077B3" w14:textId="68F14FE8" w:rsidR="000975A2" w:rsidRPr="000975A2" w:rsidRDefault="000975A2" w:rsidP="000975A2">
            <w:pPr>
              <w:autoSpaceDE w:val="0"/>
              <w:autoSpaceDN w:val="0"/>
              <w:adjustRightInd w:val="0"/>
              <w:rPr>
                <w:rFonts w:cstheme="minorHAnsi"/>
                <w:color w:val="2C2A2A"/>
              </w:rPr>
            </w:pPr>
            <w:r w:rsidRPr="000975A2">
              <w:rPr>
                <w:rFonts w:cstheme="minorHAnsi"/>
                <w:color w:val="2C2A2A"/>
              </w:rPr>
              <w:t>– les filtres en coin, applicateurs d’électrons, les informations relatives à la présence du collimateur</w:t>
            </w:r>
            <w:r>
              <w:rPr>
                <w:rFonts w:cstheme="minorHAnsi"/>
                <w:color w:val="2C2A2A"/>
              </w:rPr>
              <w:t xml:space="preserve"> </w:t>
            </w:r>
            <w:proofErr w:type="spellStart"/>
            <w:r w:rsidRPr="000975A2">
              <w:rPr>
                <w:rFonts w:cstheme="minorHAnsi"/>
                <w:color w:val="2C2A2A"/>
              </w:rPr>
              <w:t>multilames</w:t>
            </w:r>
            <w:proofErr w:type="spellEnd"/>
            <w:r w:rsidRPr="000975A2">
              <w:rPr>
                <w:rFonts w:cstheme="minorHAnsi"/>
                <w:color w:val="2C2A2A"/>
              </w:rPr>
              <w:t xml:space="preserve"> ou au niveau d’accrochage du bloc de conformation ;</w:t>
            </w:r>
          </w:p>
          <w:p w14:paraId="3F3CF102" w14:textId="77777777" w:rsidR="000975A2" w:rsidRPr="000975A2" w:rsidRDefault="000975A2" w:rsidP="000975A2">
            <w:pPr>
              <w:autoSpaceDE w:val="0"/>
              <w:autoSpaceDN w:val="0"/>
              <w:adjustRightInd w:val="0"/>
              <w:rPr>
                <w:rFonts w:cstheme="minorHAnsi"/>
                <w:color w:val="2C2A2A"/>
              </w:rPr>
            </w:pPr>
            <w:r w:rsidRPr="000975A2">
              <w:rPr>
                <w:rFonts w:cstheme="minorHAnsi"/>
                <w:color w:val="2C2A2A"/>
              </w:rPr>
              <w:t>– les UM avec et sans filtre en coin.</w:t>
            </w:r>
          </w:p>
          <w:p w14:paraId="3AF92CF0" w14:textId="5D52B9B5" w:rsidR="000975A2" w:rsidRPr="000975A2" w:rsidRDefault="000975A2" w:rsidP="000975A2">
            <w:pPr>
              <w:autoSpaceDE w:val="0"/>
              <w:autoSpaceDN w:val="0"/>
              <w:adjustRightInd w:val="0"/>
              <w:rPr>
                <w:rFonts w:cstheme="minorHAnsi"/>
              </w:rPr>
            </w:pPr>
            <w:r w:rsidRPr="000975A2">
              <w:rPr>
                <w:rFonts w:cstheme="minorHAnsi"/>
                <w:color w:val="2C2A2A"/>
              </w:rPr>
              <w:t xml:space="preserve">Lancer l’irradiation pour vérifier physiquement la mise en place de certaines </w:t>
            </w:r>
            <w:r>
              <w:rPr>
                <w:rFonts w:cstheme="minorHAnsi"/>
                <w:color w:val="2C2A2A"/>
              </w:rPr>
              <w:t xml:space="preserve"> c</w:t>
            </w:r>
            <w:r w:rsidRPr="000975A2">
              <w:rPr>
                <w:rFonts w:cstheme="minorHAnsi"/>
                <w:color w:val="2C2A2A"/>
              </w:rPr>
              <w:t>aractéristiques des faisceaux</w:t>
            </w:r>
            <w:r>
              <w:rPr>
                <w:rFonts w:cstheme="minorHAnsi"/>
                <w:color w:val="2C2A2A"/>
              </w:rPr>
              <w:t xml:space="preserve"> </w:t>
            </w:r>
            <w:r w:rsidRPr="000975A2">
              <w:rPr>
                <w:rFonts w:cstheme="minorHAnsi"/>
                <w:color w:val="2C2A2A"/>
              </w:rPr>
              <w:t>étudiés sur l’accélérateur d’électrons.</w:t>
            </w:r>
          </w:p>
        </w:tc>
      </w:tr>
      <w:tr w:rsidR="000975A2" w14:paraId="797545FD" w14:textId="77777777" w:rsidTr="000975A2">
        <w:tc>
          <w:tcPr>
            <w:tcW w:w="2547" w:type="dxa"/>
          </w:tcPr>
          <w:p w14:paraId="3E9D213C" w14:textId="67BF65B3" w:rsidR="000975A2" w:rsidRDefault="000975A2" w:rsidP="00617F5F">
            <w:r>
              <w:lastRenderedPageBreak/>
              <w:t>Critères d’acceptabilité</w:t>
            </w:r>
          </w:p>
        </w:tc>
        <w:tc>
          <w:tcPr>
            <w:tcW w:w="7909" w:type="dxa"/>
          </w:tcPr>
          <w:p w14:paraId="1AA5881E" w14:textId="77777777" w:rsidR="000975A2" w:rsidRPr="000975A2" w:rsidRDefault="000975A2" w:rsidP="000975A2">
            <w:pPr>
              <w:autoSpaceDE w:val="0"/>
              <w:autoSpaceDN w:val="0"/>
              <w:adjustRightInd w:val="0"/>
              <w:rPr>
                <w:rFonts w:cstheme="minorHAnsi"/>
                <w:color w:val="2C2A2A"/>
              </w:rPr>
            </w:pPr>
            <w:r w:rsidRPr="000975A2">
              <w:rPr>
                <w:rFonts w:cstheme="minorHAnsi"/>
                <w:color w:val="2C2A2A"/>
              </w:rPr>
              <w:t>Aucun écart entre le plan de traitement et les informations transmises à l’accélérateur d’électrons ne doit être</w:t>
            </w:r>
          </w:p>
          <w:p w14:paraId="2D10D2D7" w14:textId="5B639FC5" w:rsidR="000975A2" w:rsidRPr="000975A2" w:rsidRDefault="000975A2" w:rsidP="000975A2">
            <w:pPr>
              <w:rPr>
                <w:rFonts w:cstheme="minorHAnsi"/>
              </w:rPr>
            </w:pPr>
            <w:r w:rsidRPr="000975A2">
              <w:rPr>
                <w:rFonts w:cstheme="minorHAnsi"/>
                <w:color w:val="2C2A2A"/>
              </w:rPr>
              <w:t>constaté.</w:t>
            </w:r>
          </w:p>
        </w:tc>
      </w:tr>
    </w:tbl>
    <w:p w14:paraId="62C1DA99" w14:textId="32278529" w:rsidR="00BA2EFC" w:rsidRDefault="00BA2EFC" w:rsidP="00617F5F"/>
    <w:p w14:paraId="22A634AB" w14:textId="22742EE6" w:rsidR="009D43C9" w:rsidRPr="00720812" w:rsidRDefault="00E009C1" w:rsidP="00617F5F">
      <w:pPr>
        <w:rPr>
          <w:b/>
          <w:sz w:val="28"/>
        </w:rPr>
      </w:pPr>
      <w:r w:rsidRPr="00720812">
        <w:rPr>
          <w:b/>
          <w:sz w:val="28"/>
        </w:rPr>
        <w:t>AAPM 56 (1993) :</w:t>
      </w:r>
    </w:p>
    <w:p w14:paraId="69BC137C" w14:textId="4521AEA2" w:rsidR="00E009C1" w:rsidRDefault="00E009C1" w:rsidP="00617F5F">
      <w:r>
        <w:t xml:space="preserve">FDA : classification d’incidents </w:t>
      </w:r>
      <w:r>
        <w:sym w:font="Wingdings" w:char="F0E0"/>
      </w:r>
      <w:r>
        <w:t xml:space="preserve"> classe I : Incident pouvant causer la mort ou un préjudice grave</w:t>
      </w:r>
    </w:p>
    <w:p w14:paraId="38355831" w14:textId="617F1084" w:rsidR="00E009C1" w:rsidRDefault="00E009C1" w:rsidP="00E009C1">
      <w:pPr>
        <w:pStyle w:val="Paragraphedeliste"/>
        <w:numPr>
          <w:ilvl w:val="0"/>
          <w:numId w:val="2"/>
        </w:numPr>
      </w:pPr>
      <w:proofErr w:type="gramStart"/>
      <w:r>
        <w:t>classe</w:t>
      </w:r>
      <w:proofErr w:type="gramEnd"/>
      <w:r>
        <w:t xml:space="preserve"> II : Incident de faible probabilité de causer un préjudice grave</w:t>
      </w:r>
    </w:p>
    <w:p w14:paraId="62A98160" w14:textId="47CF1006" w:rsidR="00E009C1" w:rsidRDefault="00E009C1" w:rsidP="00E009C1">
      <w:pPr>
        <w:pStyle w:val="Paragraphedeliste"/>
        <w:numPr>
          <w:ilvl w:val="0"/>
          <w:numId w:val="1"/>
        </w:numPr>
      </w:pPr>
      <w:r>
        <w:t>Dose incorrecte délivrée :</w:t>
      </w:r>
    </w:p>
    <w:p w14:paraId="6DA68287" w14:textId="7B561957" w:rsidR="00E009C1" w:rsidRDefault="00E009C1" w:rsidP="00E009C1">
      <w:pPr>
        <w:pStyle w:val="Paragraphedeliste"/>
        <w:numPr>
          <w:ilvl w:val="1"/>
          <w:numId w:val="1"/>
        </w:numPr>
      </w:pPr>
      <w:r>
        <w:t>Excessive dose = mort, complication, effets génétiques, cancers radio induits</w:t>
      </w:r>
    </w:p>
    <w:p w14:paraId="167CE6E4" w14:textId="0C7431EE" w:rsidR="00E009C1" w:rsidRDefault="00E009C1" w:rsidP="00E009C1">
      <w:pPr>
        <w:pStyle w:val="Paragraphedeliste"/>
        <w:numPr>
          <w:ilvl w:val="0"/>
          <w:numId w:val="1"/>
        </w:numPr>
      </w:pPr>
      <w:r>
        <w:t>Dose délivrée au mauvais endroit :</w:t>
      </w:r>
    </w:p>
    <w:p w14:paraId="60AC3DAB" w14:textId="176BE4FB" w:rsidR="00E009C1" w:rsidRDefault="00E009C1" w:rsidP="00E009C1">
      <w:pPr>
        <w:pStyle w:val="Paragraphedeliste"/>
        <w:numPr>
          <w:ilvl w:val="1"/>
          <w:numId w:val="1"/>
        </w:numPr>
      </w:pPr>
      <w:r>
        <w:t>//</w:t>
      </w:r>
    </w:p>
    <w:p w14:paraId="213C3EE3" w14:textId="1ACB4F25" w:rsidR="00E009C1" w:rsidRDefault="00E009C1" w:rsidP="00E009C1">
      <w:pPr>
        <w:pStyle w:val="Paragraphedeliste"/>
        <w:numPr>
          <w:ilvl w:val="0"/>
          <w:numId w:val="1"/>
        </w:numPr>
      </w:pPr>
      <w:r>
        <w:t>Collision machine-patient :</w:t>
      </w:r>
    </w:p>
    <w:p w14:paraId="04A802B4" w14:textId="44CD49A7" w:rsidR="00E009C1" w:rsidRDefault="00E009C1" w:rsidP="00E009C1">
      <w:pPr>
        <w:pStyle w:val="Paragraphedeliste"/>
        <w:numPr>
          <w:ilvl w:val="1"/>
          <w:numId w:val="1"/>
        </w:numPr>
      </w:pPr>
      <w:r>
        <w:t xml:space="preserve">Mort, préjudice grave </w:t>
      </w:r>
    </w:p>
    <w:p w14:paraId="65C2933D" w14:textId="3945F923" w:rsidR="00E009C1" w:rsidRDefault="00E009C1" w:rsidP="00E009C1">
      <w:pPr>
        <w:pStyle w:val="Paragraphedeliste"/>
        <w:numPr>
          <w:ilvl w:val="0"/>
          <w:numId w:val="1"/>
        </w:numPr>
      </w:pPr>
      <w:r>
        <w:t>Mauvaise énergie ou mauvais modalité </w:t>
      </w:r>
      <w:r>
        <w:sym w:font="Wingdings" w:char="F0E0"/>
      </w:r>
      <w:r>
        <w:t xml:space="preserve"> dose incorrecte et localisation incorrecte</w:t>
      </w:r>
    </w:p>
    <w:p w14:paraId="260786D1" w14:textId="01ECE9F4" w:rsidR="00E009C1" w:rsidRDefault="00720812" w:rsidP="00720812">
      <w:r>
        <w:t>AAPM : classification (</w:t>
      </w:r>
      <w:proofErr w:type="spellStart"/>
      <w:r>
        <w:t>normofractionné</w:t>
      </w:r>
      <w:proofErr w:type="spellEnd"/>
      <w:r>
        <w:t xml:space="preserve"> (30 séances en 2 Gy) en 5 j/</w:t>
      </w:r>
      <w:proofErr w:type="spellStart"/>
      <w:r>
        <w:t>sem</w:t>
      </w:r>
      <w:proofErr w:type="spellEnd"/>
      <w:r>
        <w:t xml:space="preserve"> + contrôle physiciens 1/semaine) :</w:t>
      </w:r>
    </w:p>
    <w:p w14:paraId="27885162" w14:textId="0E617D93" w:rsidR="00720812" w:rsidRDefault="00720812" w:rsidP="00720812">
      <w:pPr>
        <w:pStyle w:val="Paragraphedeliste"/>
        <w:numPr>
          <w:ilvl w:val="0"/>
          <w:numId w:val="2"/>
        </w:numPr>
      </w:pPr>
      <w:r>
        <w:t xml:space="preserve">Type A : </w:t>
      </w:r>
      <w:r w:rsidR="00220B81">
        <w:t>Incident mettant la vie du patient en danger (+25% de dose)</w:t>
      </w:r>
    </w:p>
    <w:p w14:paraId="4D1B393B" w14:textId="71EAA35D" w:rsidR="00E4114D" w:rsidRDefault="00E4114D" w:rsidP="00E4114D">
      <w:pPr>
        <w:pStyle w:val="Paragraphedeliste"/>
        <w:numPr>
          <w:ilvl w:val="1"/>
          <w:numId w:val="2"/>
        </w:numPr>
      </w:pPr>
      <w:r>
        <w:t xml:space="preserve">Overdose par </w:t>
      </w:r>
      <w:proofErr w:type="spellStart"/>
      <w:r>
        <w:t>faulty</w:t>
      </w:r>
      <w:proofErr w:type="spellEnd"/>
      <w:r>
        <w:t xml:space="preserve"> machine : 200 % dose prescrite/f délivrée, problème machine non détecté</w:t>
      </w:r>
      <w:r w:rsidR="00CB1FC3">
        <w:t xml:space="preserve"> et délivrance de plus de 10 Gy avec ce problème</w:t>
      </w:r>
    </w:p>
    <w:p w14:paraId="7364C923" w14:textId="7971C5E2" w:rsidR="00E4114D" w:rsidRDefault="00E4114D" w:rsidP="00E4114D">
      <w:pPr>
        <w:pStyle w:val="Paragraphedeliste"/>
        <w:numPr>
          <w:ilvl w:val="1"/>
          <w:numId w:val="2"/>
        </w:numPr>
      </w:pPr>
      <w:r>
        <w:t>Dose hors du champ</w:t>
      </w:r>
    </w:p>
    <w:p w14:paraId="019E6AE0" w14:textId="26231B08" w:rsidR="00E4114D" w:rsidRDefault="00E4114D" w:rsidP="00E4114D">
      <w:pPr>
        <w:pStyle w:val="Paragraphedeliste"/>
        <w:numPr>
          <w:ilvl w:val="1"/>
          <w:numId w:val="2"/>
        </w:numPr>
      </w:pPr>
      <w:r>
        <w:t>Collision patient machine</w:t>
      </w:r>
    </w:p>
    <w:p w14:paraId="2BD0CF89" w14:textId="47A8E994" w:rsidR="00E4114D" w:rsidRDefault="00E4114D" w:rsidP="00E4114D">
      <w:pPr>
        <w:pStyle w:val="Paragraphedeliste"/>
        <w:numPr>
          <w:ilvl w:val="1"/>
          <w:numId w:val="2"/>
        </w:numPr>
      </w:pPr>
      <w:r>
        <w:t>Mauvaise énergie ou modalité</w:t>
      </w:r>
      <w:r w:rsidR="00CB1FC3">
        <w:t xml:space="preserve"> totalement délivré</w:t>
      </w:r>
    </w:p>
    <w:p w14:paraId="1840F0C5" w14:textId="5C65BABC" w:rsidR="00E4114D" w:rsidRDefault="00E4114D" w:rsidP="00720812">
      <w:pPr>
        <w:pStyle w:val="Paragraphedeliste"/>
        <w:numPr>
          <w:ilvl w:val="0"/>
          <w:numId w:val="2"/>
        </w:numPr>
      </w:pPr>
      <w:r>
        <w:t>Type B : pas de mise en danger de la vie mais augmentation des complications ou contrôle tumoral diminué</w:t>
      </w:r>
    </w:p>
    <w:p w14:paraId="45B9973D" w14:textId="11AF7A94" w:rsidR="00E4114D" w:rsidRDefault="00E4114D" w:rsidP="00E4114D">
      <w:pPr>
        <w:pStyle w:val="Paragraphedeliste"/>
        <w:numPr>
          <w:ilvl w:val="1"/>
          <w:numId w:val="2"/>
        </w:numPr>
      </w:pPr>
      <w:r>
        <w:t>Overdose : 120 % dose prescrite/f délivrée</w:t>
      </w:r>
      <w:r w:rsidR="00CB1FC3">
        <w:t>, délivrance de 4 Gy avant détection problème machine</w:t>
      </w:r>
    </w:p>
    <w:p w14:paraId="13FE39C3" w14:textId="5663092B" w:rsidR="00CB1FC3" w:rsidRDefault="00CB1FC3" w:rsidP="00E4114D">
      <w:pPr>
        <w:pStyle w:val="Paragraphedeliste"/>
        <w:numPr>
          <w:ilvl w:val="1"/>
          <w:numId w:val="2"/>
        </w:numPr>
      </w:pPr>
      <w:r>
        <w:t>Dose hors champ d’irradiation (2cm)</w:t>
      </w:r>
    </w:p>
    <w:p w14:paraId="7228EF7D" w14:textId="04F88C79" w:rsidR="00CB1FC3" w:rsidRDefault="00CB1FC3" w:rsidP="00E4114D">
      <w:pPr>
        <w:pStyle w:val="Paragraphedeliste"/>
        <w:numPr>
          <w:ilvl w:val="1"/>
          <w:numId w:val="2"/>
        </w:numPr>
      </w:pPr>
      <w:r>
        <w:t>Mauvaise énergie ou modalité non détectée lors des premières séances</w:t>
      </w:r>
    </w:p>
    <w:p w14:paraId="4E31AA8A" w14:textId="2966CC74" w:rsidR="00CB1FC3" w:rsidRDefault="00CB1FC3" w:rsidP="00E4114D">
      <w:pPr>
        <w:pStyle w:val="Paragraphedeliste"/>
        <w:numPr>
          <w:ilvl w:val="1"/>
          <w:numId w:val="2"/>
        </w:numPr>
      </w:pPr>
      <w:r>
        <w:t>Sous-dosage</w:t>
      </w:r>
    </w:p>
    <w:p w14:paraId="67BE58F4" w14:textId="5CA0BBA8" w:rsidR="0018477F" w:rsidRDefault="0018477F" w:rsidP="0018477F"/>
    <w:p w14:paraId="1D4BF234" w14:textId="1657B6F2" w:rsidR="0018477F" w:rsidRDefault="0018477F" w:rsidP="0018477F">
      <w:pPr>
        <w:rPr>
          <w:b/>
          <w:sz w:val="32"/>
        </w:rPr>
      </w:pPr>
      <w:r>
        <w:rPr>
          <w:b/>
          <w:sz w:val="32"/>
        </w:rPr>
        <w:t>SFPM 26 :</w:t>
      </w:r>
    </w:p>
    <w:p w14:paraId="3E120D4C" w14:textId="6E5A7555" w:rsidR="0018477F" w:rsidRDefault="0018477F" w:rsidP="0018477F">
      <w:pPr>
        <w:rPr>
          <w:sz w:val="20"/>
        </w:rPr>
      </w:pPr>
      <w:proofErr w:type="spellStart"/>
      <w:r>
        <w:rPr>
          <w:sz w:val="20"/>
        </w:rPr>
        <w:t>Pré-requis</w:t>
      </w:r>
      <w:proofErr w:type="spellEnd"/>
      <w:r>
        <w:rPr>
          <w:sz w:val="20"/>
        </w:rPr>
        <w:t xml:space="preserve"> au CQ RCMI : linéarité de la chambre moniteur + symétrie et homogénéité petits champs, influence des paramètres d’irradiation sur la chambre moniteur</w:t>
      </w:r>
    </w:p>
    <w:p w14:paraId="1F542834" w14:textId="740753BE" w:rsidR="0018477F" w:rsidRDefault="0018477F" w:rsidP="0018477F">
      <w:pPr>
        <w:rPr>
          <w:sz w:val="20"/>
        </w:rPr>
      </w:pPr>
      <w:proofErr w:type="spellStart"/>
      <w:r>
        <w:rPr>
          <w:sz w:val="20"/>
        </w:rPr>
        <w:t>Mubata</w:t>
      </w:r>
      <w:proofErr w:type="spellEnd"/>
      <w:r>
        <w:rPr>
          <w:sz w:val="20"/>
        </w:rPr>
        <w:t xml:space="preserve"> 1997 / Rapport SFPM 2003 </w:t>
      </w:r>
      <w:r w:rsidRPr="0018477F">
        <w:rPr>
          <w:sz w:val="20"/>
        </w:rPr>
        <w:sym w:font="Wingdings" w:char="F0E0"/>
      </w:r>
      <w:r>
        <w:rPr>
          <w:sz w:val="20"/>
        </w:rPr>
        <w:t xml:space="preserve"> MLC doit répondre à ces exigence</w:t>
      </w:r>
    </w:p>
    <w:p w14:paraId="5824A76B" w14:textId="1B5A13A8" w:rsidR="0018477F" w:rsidRDefault="0018477F" w:rsidP="0018477F">
      <w:pPr>
        <w:rPr>
          <w:sz w:val="20"/>
        </w:rPr>
      </w:pPr>
      <w:r>
        <w:rPr>
          <w:noProof/>
          <w:lang w:eastAsia="fr-FR"/>
        </w:rPr>
        <w:lastRenderedPageBreak/>
        <w:drawing>
          <wp:inline distT="0" distB="0" distL="0" distR="0" wp14:anchorId="79ED744D" wp14:editId="6944A286">
            <wp:extent cx="6645910" cy="3481705"/>
            <wp:effectExtent l="0" t="0" r="254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481705"/>
                    </a:xfrm>
                    <a:prstGeom prst="rect">
                      <a:avLst/>
                    </a:prstGeom>
                  </pic:spPr>
                </pic:pic>
              </a:graphicData>
            </a:graphic>
          </wp:inline>
        </w:drawing>
      </w:r>
    </w:p>
    <w:p w14:paraId="69B0D3CB" w14:textId="73F0A7D1" w:rsidR="00D86E06" w:rsidRPr="00962DBB" w:rsidRDefault="00962DBB" w:rsidP="0018477F">
      <w:pPr>
        <w:rPr>
          <w:b/>
          <w:bCs/>
          <w:sz w:val="32"/>
          <w:szCs w:val="36"/>
        </w:rPr>
      </w:pPr>
      <w:r w:rsidRPr="00962DBB">
        <w:rPr>
          <w:b/>
          <w:bCs/>
          <w:sz w:val="32"/>
          <w:szCs w:val="36"/>
        </w:rPr>
        <w:t>Entretien et questions HL 09/08/2022 :</w:t>
      </w:r>
    </w:p>
    <w:p w14:paraId="7262F256" w14:textId="3CB88FB8" w:rsidR="00962DBB" w:rsidRDefault="00962DBB" w:rsidP="0018477F">
      <w:pPr>
        <w:rPr>
          <w:szCs w:val="24"/>
        </w:rPr>
      </w:pPr>
      <w:r w:rsidRPr="00962DBB">
        <w:rPr>
          <w:szCs w:val="24"/>
        </w:rPr>
        <w:t xml:space="preserve">Si le TOP n’est pas bon </w:t>
      </w:r>
      <w:r w:rsidRPr="00962DBB">
        <w:rPr>
          <w:szCs w:val="24"/>
        </w:rPr>
        <w:sym w:font="Wingdings" w:char="F0E0"/>
      </w:r>
      <w:r w:rsidRPr="00962DBB">
        <w:rPr>
          <w:szCs w:val="24"/>
        </w:rPr>
        <w:t xml:space="preserve"> refaire avec vérification </w:t>
      </w:r>
      <w:r>
        <w:rPr>
          <w:szCs w:val="24"/>
        </w:rPr>
        <w:t xml:space="preserve">bon positionnement </w:t>
      </w:r>
      <w:r w:rsidRPr="00962DBB">
        <w:rPr>
          <w:szCs w:val="24"/>
        </w:rPr>
        <w:sym w:font="Wingdings" w:char="F0E0"/>
      </w:r>
      <w:r>
        <w:rPr>
          <w:szCs w:val="24"/>
        </w:rPr>
        <w:t xml:space="preserve"> Appel physicien : Si énergies bonnes mais VMAT ne passe pas, réinitialisation MLC +- </w:t>
      </w:r>
      <w:proofErr w:type="spellStart"/>
      <w:r>
        <w:rPr>
          <w:szCs w:val="24"/>
        </w:rPr>
        <w:t>artiscan</w:t>
      </w:r>
      <w:proofErr w:type="spellEnd"/>
      <w:r>
        <w:rPr>
          <w:szCs w:val="24"/>
        </w:rPr>
        <w:t xml:space="preserve"> et champs lumineux </w:t>
      </w:r>
      <w:r w:rsidRPr="00962DBB">
        <w:rPr>
          <w:szCs w:val="24"/>
        </w:rPr>
        <w:sym w:font="Wingdings" w:char="F0E0"/>
      </w:r>
      <w:r>
        <w:rPr>
          <w:szCs w:val="24"/>
        </w:rPr>
        <w:t xml:space="preserve"> TOP dans l’eau</w:t>
      </w:r>
    </w:p>
    <w:p w14:paraId="0F6E599E" w14:textId="3D653AFE" w:rsidR="00F01BAF" w:rsidRDefault="00F01BAF" w:rsidP="0018477F">
      <w:pPr>
        <w:rPr>
          <w:szCs w:val="24"/>
        </w:rPr>
      </w:pPr>
      <w:r>
        <w:rPr>
          <w:szCs w:val="24"/>
        </w:rPr>
        <w:t xml:space="preserve">Contrôle </w:t>
      </w:r>
      <w:r>
        <w:rPr>
          <w:rFonts w:cstheme="minorHAnsi"/>
          <w:szCs w:val="24"/>
        </w:rPr>
        <w:t>≠</w:t>
      </w:r>
      <w:r>
        <w:rPr>
          <w:szCs w:val="24"/>
        </w:rPr>
        <w:t xml:space="preserve"> Calibration</w:t>
      </w:r>
    </w:p>
    <w:p w14:paraId="1366C115" w14:textId="79718901" w:rsidR="00962DBB" w:rsidRDefault="00962DBB" w:rsidP="00962DBB">
      <w:pPr>
        <w:pStyle w:val="Paragraphedeliste"/>
        <w:numPr>
          <w:ilvl w:val="0"/>
          <w:numId w:val="3"/>
        </w:numPr>
        <w:rPr>
          <w:szCs w:val="24"/>
        </w:rPr>
      </w:pPr>
      <w:r w:rsidRPr="00962DBB">
        <w:rPr>
          <w:szCs w:val="24"/>
        </w:rPr>
        <w:t>Changement de lame :</w:t>
      </w:r>
      <w:r>
        <w:rPr>
          <w:szCs w:val="24"/>
        </w:rPr>
        <w:t xml:space="preserve"> Initialisation MLC + TOP + champs lumineux avec répétabilité et </w:t>
      </w:r>
      <w:proofErr w:type="spellStart"/>
      <w:r>
        <w:rPr>
          <w:szCs w:val="24"/>
        </w:rPr>
        <w:t>leafs</w:t>
      </w:r>
      <w:proofErr w:type="spellEnd"/>
      <w:r>
        <w:rPr>
          <w:szCs w:val="24"/>
        </w:rPr>
        <w:t xml:space="preserve"> (lames numérotées 1-60 pour un banc et 61-120 pour l’autre banc) + MPC à la rigueur</w:t>
      </w:r>
    </w:p>
    <w:p w14:paraId="78982D06" w14:textId="46BB408C" w:rsidR="00962DBB" w:rsidRDefault="00962DBB" w:rsidP="00962DBB">
      <w:pPr>
        <w:pStyle w:val="Paragraphedeliste"/>
        <w:numPr>
          <w:ilvl w:val="0"/>
          <w:numId w:val="3"/>
        </w:numPr>
        <w:rPr>
          <w:szCs w:val="24"/>
        </w:rPr>
      </w:pPr>
      <w:r>
        <w:rPr>
          <w:szCs w:val="24"/>
        </w:rPr>
        <w:t xml:space="preserve">Collision table et bras : Rigidité et planéité de la table (déplacements de la table via des potentiomètres </w:t>
      </w:r>
      <w:r w:rsidRPr="00962DBB">
        <w:rPr>
          <w:szCs w:val="24"/>
        </w:rPr>
        <w:sym w:font="Wingdings" w:char="F0E0"/>
      </w:r>
      <w:r>
        <w:rPr>
          <w:szCs w:val="24"/>
        </w:rPr>
        <w:t xml:space="preserve"> peuvent être à </w:t>
      </w:r>
      <w:proofErr w:type="spellStart"/>
      <w:r>
        <w:rPr>
          <w:szCs w:val="24"/>
        </w:rPr>
        <w:t>recalibrer</w:t>
      </w:r>
      <w:proofErr w:type="spellEnd"/>
      <w:r>
        <w:rPr>
          <w:szCs w:val="24"/>
        </w:rPr>
        <w:t xml:space="preserve"> (</w:t>
      </w:r>
      <w:proofErr w:type="spellStart"/>
      <w:r>
        <w:rPr>
          <w:szCs w:val="24"/>
        </w:rPr>
        <w:t>biomed</w:t>
      </w:r>
      <w:proofErr w:type="spellEnd"/>
      <w:r>
        <w:rPr>
          <w:szCs w:val="24"/>
        </w:rPr>
        <w:t xml:space="preserve">)) + vérifier </w:t>
      </w:r>
      <w:proofErr w:type="spellStart"/>
      <w:r>
        <w:rPr>
          <w:szCs w:val="24"/>
        </w:rPr>
        <w:t>colli</w:t>
      </w:r>
      <w:proofErr w:type="spellEnd"/>
      <w:r>
        <w:rPr>
          <w:szCs w:val="24"/>
        </w:rPr>
        <w:t xml:space="preserve"> </w:t>
      </w:r>
      <w:r w:rsidRPr="00962DBB">
        <w:rPr>
          <w:szCs w:val="24"/>
        </w:rPr>
        <w:sym w:font="Wingdings" w:char="F0E0"/>
      </w:r>
      <w:r>
        <w:rPr>
          <w:szCs w:val="24"/>
        </w:rPr>
        <w:t xml:space="preserve"> rotation + TOP</w:t>
      </w:r>
    </w:p>
    <w:p w14:paraId="18A80BA3" w14:textId="40C907E3" w:rsidR="00962DBB" w:rsidRDefault="00F01BAF" w:rsidP="00962DBB">
      <w:pPr>
        <w:pStyle w:val="Paragraphedeliste"/>
        <w:numPr>
          <w:ilvl w:val="0"/>
          <w:numId w:val="3"/>
        </w:numPr>
        <w:rPr>
          <w:szCs w:val="24"/>
        </w:rPr>
      </w:pPr>
      <w:r>
        <w:rPr>
          <w:szCs w:val="24"/>
        </w:rPr>
        <w:t>Collision OBI table : Vérifier l’isocentre avec le fantôme à billes</w:t>
      </w:r>
    </w:p>
    <w:p w14:paraId="7B4076DD" w14:textId="52E27830" w:rsidR="00F01BAF" w:rsidRDefault="00F01BAF" w:rsidP="00962DBB">
      <w:pPr>
        <w:pStyle w:val="Paragraphedeliste"/>
        <w:numPr>
          <w:ilvl w:val="0"/>
          <w:numId w:val="3"/>
        </w:numPr>
        <w:rPr>
          <w:szCs w:val="24"/>
        </w:rPr>
      </w:pPr>
      <w:r>
        <w:rPr>
          <w:szCs w:val="24"/>
        </w:rPr>
        <w:t>Changement de la lampe : CQ miroir + taille de champ + lumineux/irradié</w:t>
      </w:r>
    </w:p>
    <w:p w14:paraId="5529A021" w14:textId="28EB959F" w:rsidR="00921456" w:rsidRDefault="00921456" w:rsidP="00921456">
      <w:pPr>
        <w:rPr>
          <w:b/>
          <w:bCs/>
          <w:sz w:val="32"/>
          <w:szCs w:val="36"/>
        </w:rPr>
      </w:pPr>
      <w:r>
        <w:rPr>
          <w:b/>
          <w:bCs/>
          <w:sz w:val="32"/>
          <w:szCs w:val="36"/>
        </w:rPr>
        <w:t xml:space="preserve">Recommandations </w:t>
      </w:r>
      <w:proofErr w:type="spellStart"/>
      <w:r>
        <w:rPr>
          <w:b/>
          <w:bCs/>
          <w:sz w:val="32"/>
          <w:szCs w:val="36"/>
        </w:rPr>
        <w:t>Varian</w:t>
      </w:r>
      <w:proofErr w:type="spellEnd"/>
      <w:r>
        <w:rPr>
          <w:b/>
          <w:bCs/>
          <w:sz w:val="32"/>
          <w:szCs w:val="36"/>
        </w:rPr>
        <w:t> :</w:t>
      </w:r>
    </w:p>
    <w:p w14:paraId="70D7C229" w14:textId="7983E34F" w:rsidR="00921456" w:rsidRDefault="003B4750" w:rsidP="00921456">
      <w:pPr>
        <w:rPr>
          <w:szCs w:val="24"/>
        </w:rPr>
      </w:pPr>
      <w:r>
        <w:rPr>
          <w:szCs w:val="24"/>
        </w:rPr>
        <w:t>MPC avant chaque ouverture de la machine ou modification du système et noter les divergences</w:t>
      </w:r>
    </w:p>
    <w:p w14:paraId="53B44C67" w14:textId="3A1FCA66" w:rsidR="006C69CA" w:rsidRDefault="006C69CA" w:rsidP="00921456">
      <w:pPr>
        <w:rPr>
          <w:szCs w:val="24"/>
        </w:rPr>
      </w:pPr>
      <w:r>
        <w:rPr>
          <w:szCs w:val="24"/>
        </w:rPr>
        <w:t xml:space="preserve">Ne jamais </w:t>
      </w:r>
      <w:proofErr w:type="spellStart"/>
      <w:r>
        <w:rPr>
          <w:szCs w:val="24"/>
        </w:rPr>
        <w:t>interlocker</w:t>
      </w:r>
      <w:proofErr w:type="spellEnd"/>
      <w:r>
        <w:rPr>
          <w:szCs w:val="24"/>
        </w:rPr>
        <w:t xml:space="preserve"> les erreurs : VAC1, KSOL, KFIL, HVOC, MOD, CTRL, FLOW</w:t>
      </w:r>
    </w:p>
    <w:p w14:paraId="70A46FE9" w14:textId="4BD1E05C" w:rsidR="006C69CA" w:rsidRDefault="006C69CA" w:rsidP="00921456">
      <w:pPr>
        <w:rPr>
          <w:szCs w:val="24"/>
        </w:rPr>
      </w:pPr>
      <w:r>
        <w:rPr>
          <w:szCs w:val="24"/>
        </w:rPr>
        <w:t>Toujours vérifier la symétrie et la calibration de dose si le débit de dose change de plus de 10% sur le 6MV (potentiellement un endommagement de la cible</w:t>
      </w:r>
    </w:p>
    <w:p w14:paraId="4D98F493" w14:textId="131950E9" w:rsidR="006C69CA" w:rsidRDefault="006C69CA" w:rsidP="00921456">
      <w:pPr>
        <w:rPr>
          <w:szCs w:val="24"/>
        </w:rPr>
      </w:pPr>
      <w:r>
        <w:rPr>
          <w:szCs w:val="24"/>
        </w:rPr>
        <w:t>Si top &gt; 2% : checker énergie, symétrie, homogénéité</w:t>
      </w:r>
    </w:p>
    <w:p w14:paraId="4D41B0E4" w14:textId="3CDFD532" w:rsidR="00B15D93" w:rsidRDefault="00B15D93" w:rsidP="00921456">
      <w:pPr>
        <w:rPr>
          <w:szCs w:val="24"/>
        </w:rPr>
      </w:pPr>
      <w:r>
        <w:rPr>
          <w:szCs w:val="24"/>
        </w:rPr>
        <w:t>Toujours checker le débit de dose après une intervention relative à la génération du faisceau</w:t>
      </w:r>
    </w:p>
    <w:p w14:paraId="7202B1E2" w14:textId="136A8DFC" w:rsidR="00B15D93" w:rsidRDefault="000D396F" w:rsidP="00921456">
      <w:pPr>
        <w:rPr>
          <w:szCs w:val="24"/>
        </w:rPr>
      </w:pPr>
      <w:r>
        <w:rPr>
          <w:szCs w:val="24"/>
        </w:rPr>
        <w:t xml:space="preserve">Si dose rate plus faible que normalement </w:t>
      </w:r>
      <w:r w:rsidRPr="000D396F">
        <w:rPr>
          <w:szCs w:val="24"/>
        </w:rPr>
        <w:sym w:font="Wingdings" w:char="F0E0"/>
      </w:r>
      <w:r>
        <w:rPr>
          <w:szCs w:val="24"/>
        </w:rPr>
        <w:t xml:space="preserve"> arrêter le faisceau immédiatement</w:t>
      </w:r>
    </w:p>
    <w:p w14:paraId="79D5B078" w14:textId="15DFE714" w:rsidR="007E4E22" w:rsidRDefault="007E4E22" w:rsidP="00921456">
      <w:pPr>
        <w:rPr>
          <w:szCs w:val="24"/>
        </w:rPr>
      </w:pPr>
    </w:p>
    <w:p w14:paraId="49B0AAEE" w14:textId="199A3CF0" w:rsidR="007E4E22" w:rsidRDefault="007E4E22" w:rsidP="00921456">
      <w:pPr>
        <w:rPr>
          <w:szCs w:val="24"/>
        </w:rPr>
      </w:pPr>
    </w:p>
    <w:p w14:paraId="4D2079CF" w14:textId="71EDE3FF" w:rsidR="007E4E22" w:rsidRDefault="007E4E22" w:rsidP="00921456">
      <w:pPr>
        <w:rPr>
          <w:szCs w:val="24"/>
        </w:rPr>
      </w:pPr>
    </w:p>
    <w:p w14:paraId="4E5099C2" w14:textId="77777777" w:rsidR="007E4E22" w:rsidRDefault="007E4E22" w:rsidP="00921456">
      <w:pPr>
        <w:rPr>
          <w:szCs w:val="24"/>
        </w:rPr>
      </w:pPr>
    </w:p>
    <w:tbl>
      <w:tblPr>
        <w:tblStyle w:val="Grilledutableau"/>
        <w:tblW w:w="0" w:type="auto"/>
        <w:tblLook w:val="04A0" w:firstRow="1" w:lastRow="0" w:firstColumn="1" w:lastColumn="0" w:noHBand="0" w:noVBand="1"/>
      </w:tblPr>
      <w:tblGrid>
        <w:gridCol w:w="2781"/>
        <w:gridCol w:w="1331"/>
        <w:gridCol w:w="1714"/>
        <w:gridCol w:w="1330"/>
        <w:gridCol w:w="966"/>
        <w:gridCol w:w="1255"/>
        <w:gridCol w:w="1079"/>
      </w:tblGrid>
      <w:tr w:rsidR="007E4E22" w14:paraId="41625675" w14:textId="2CA8C6CD" w:rsidTr="00516D5E">
        <w:tc>
          <w:tcPr>
            <w:tcW w:w="2781" w:type="dxa"/>
          </w:tcPr>
          <w:p w14:paraId="60AFED7B" w14:textId="77777777" w:rsidR="00633896" w:rsidRDefault="00633896" w:rsidP="00921456">
            <w:pPr>
              <w:rPr>
                <w:szCs w:val="24"/>
              </w:rPr>
            </w:pPr>
          </w:p>
        </w:tc>
        <w:tc>
          <w:tcPr>
            <w:tcW w:w="1331" w:type="dxa"/>
          </w:tcPr>
          <w:p w14:paraId="58367C32" w14:textId="2709E5A3" w:rsidR="00633896" w:rsidRDefault="00633896" w:rsidP="00921456">
            <w:pPr>
              <w:rPr>
                <w:szCs w:val="24"/>
              </w:rPr>
            </w:pPr>
            <w:r>
              <w:rPr>
                <w:szCs w:val="24"/>
              </w:rPr>
              <w:t>Test de l’alignement du champ lumineux</w:t>
            </w:r>
          </w:p>
        </w:tc>
        <w:tc>
          <w:tcPr>
            <w:tcW w:w="1714" w:type="dxa"/>
          </w:tcPr>
          <w:p w14:paraId="3D477550" w14:textId="76424E16" w:rsidR="00633896" w:rsidRDefault="00633896" w:rsidP="00921456">
            <w:pPr>
              <w:rPr>
                <w:szCs w:val="24"/>
              </w:rPr>
            </w:pPr>
            <w:r>
              <w:rPr>
                <w:szCs w:val="24"/>
              </w:rPr>
              <w:t>Champ lumineux/irradié</w:t>
            </w:r>
          </w:p>
        </w:tc>
        <w:tc>
          <w:tcPr>
            <w:tcW w:w="1330" w:type="dxa"/>
          </w:tcPr>
          <w:p w14:paraId="796C4E28" w14:textId="374100AB" w:rsidR="00633896" w:rsidRDefault="007E4E22" w:rsidP="00921456">
            <w:pPr>
              <w:rPr>
                <w:szCs w:val="24"/>
              </w:rPr>
            </w:pPr>
            <w:r>
              <w:rPr>
                <w:szCs w:val="24"/>
              </w:rPr>
              <w:t>Vérification de l’é</w:t>
            </w:r>
            <w:r w:rsidR="00633896">
              <w:rPr>
                <w:szCs w:val="24"/>
              </w:rPr>
              <w:t>nergie</w:t>
            </w:r>
          </w:p>
        </w:tc>
        <w:tc>
          <w:tcPr>
            <w:tcW w:w="966" w:type="dxa"/>
          </w:tcPr>
          <w:p w14:paraId="4AFF5B67" w14:textId="0601F05C" w:rsidR="00633896" w:rsidRDefault="00633896" w:rsidP="00633896">
            <w:pPr>
              <w:rPr>
                <w:szCs w:val="24"/>
              </w:rPr>
            </w:pPr>
            <w:r>
              <w:rPr>
                <w:szCs w:val="24"/>
              </w:rPr>
              <w:t>Profil</w:t>
            </w:r>
          </w:p>
        </w:tc>
        <w:tc>
          <w:tcPr>
            <w:tcW w:w="1255" w:type="dxa"/>
          </w:tcPr>
          <w:p w14:paraId="76F18DC8" w14:textId="7053E811" w:rsidR="00633896" w:rsidRDefault="00633896" w:rsidP="00921456">
            <w:pPr>
              <w:rPr>
                <w:szCs w:val="24"/>
              </w:rPr>
            </w:pPr>
            <w:r>
              <w:rPr>
                <w:szCs w:val="24"/>
              </w:rPr>
              <w:t>Dose calibration (TOP)</w:t>
            </w:r>
          </w:p>
        </w:tc>
        <w:tc>
          <w:tcPr>
            <w:tcW w:w="1079" w:type="dxa"/>
          </w:tcPr>
          <w:p w14:paraId="61DF72D3" w14:textId="1CC93526" w:rsidR="00633896" w:rsidRDefault="00633896" w:rsidP="00921456">
            <w:pPr>
              <w:rPr>
                <w:szCs w:val="24"/>
              </w:rPr>
            </w:pPr>
            <w:r>
              <w:rPr>
                <w:szCs w:val="24"/>
              </w:rPr>
              <w:t>Winston-Lutz</w:t>
            </w:r>
          </w:p>
        </w:tc>
      </w:tr>
      <w:tr w:rsidR="007E4E22" w14:paraId="61C7932F" w14:textId="5444E603" w:rsidTr="00516D5E">
        <w:tc>
          <w:tcPr>
            <w:tcW w:w="2781" w:type="dxa"/>
          </w:tcPr>
          <w:p w14:paraId="749BB0C0" w14:textId="00E2F9A5" w:rsidR="00633896" w:rsidRDefault="00633896" w:rsidP="00921456">
            <w:pPr>
              <w:rPr>
                <w:szCs w:val="24"/>
              </w:rPr>
            </w:pPr>
            <w:r>
              <w:rPr>
                <w:szCs w:val="24"/>
              </w:rPr>
              <w:t>Remplacement du guide</w:t>
            </w:r>
          </w:p>
        </w:tc>
        <w:tc>
          <w:tcPr>
            <w:tcW w:w="1331" w:type="dxa"/>
          </w:tcPr>
          <w:p w14:paraId="13D8A552" w14:textId="77777777" w:rsidR="00633896" w:rsidRDefault="00633896" w:rsidP="00921456">
            <w:pPr>
              <w:rPr>
                <w:szCs w:val="24"/>
              </w:rPr>
            </w:pPr>
          </w:p>
        </w:tc>
        <w:tc>
          <w:tcPr>
            <w:tcW w:w="1714" w:type="dxa"/>
          </w:tcPr>
          <w:p w14:paraId="794B0018" w14:textId="1E8FD96E" w:rsidR="00633896" w:rsidRDefault="00633896" w:rsidP="00921456">
            <w:pPr>
              <w:rPr>
                <w:szCs w:val="24"/>
              </w:rPr>
            </w:pPr>
            <w:r>
              <w:rPr>
                <w:szCs w:val="24"/>
              </w:rPr>
              <w:t>*</w:t>
            </w:r>
          </w:p>
        </w:tc>
        <w:tc>
          <w:tcPr>
            <w:tcW w:w="1330" w:type="dxa"/>
          </w:tcPr>
          <w:p w14:paraId="4D4F9998" w14:textId="0F950411" w:rsidR="00633896" w:rsidRDefault="00633896" w:rsidP="00921456">
            <w:pPr>
              <w:rPr>
                <w:szCs w:val="24"/>
              </w:rPr>
            </w:pPr>
            <w:r>
              <w:rPr>
                <w:szCs w:val="24"/>
              </w:rPr>
              <w:t>*</w:t>
            </w:r>
          </w:p>
        </w:tc>
        <w:tc>
          <w:tcPr>
            <w:tcW w:w="966" w:type="dxa"/>
          </w:tcPr>
          <w:p w14:paraId="01C4463F" w14:textId="62C9BA81" w:rsidR="00633896" w:rsidRDefault="00633896" w:rsidP="00921456">
            <w:pPr>
              <w:rPr>
                <w:szCs w:val="24"/>
              </w:rPr>
            </w:pPr>
            <w:r>
              <w:rPr>
                <w:szCs w:val="24"/>
              </w:rPr>
              <w:t>*</w:t>
            </w:r>
          </w:p>
        </w:tc>
        <w:tc>
          <w:tcPr>
            <w:tcW w:w="1255" w:type="dxa"/>
          </w:tcPr>
          <w:p w14:paraId="471B2E14" w14:textId="136EAC73" w:rsidR="00633896" w:rsidRDefault="00633896" w:rsidP="00921456">
            <w:pPr>
              <w:rPr>
                <w:szCs w:val="24"/>
              </w:rPr>
            </w:pPr>
            <w:r>
              <w:rPr>
                <w:szCs w:val="24"/>
              </w:rPr>
              <w:t>*</w:t>
            </w:r>
          </w:p>
        </w:tc>
        <w:tc>
          <w:tcPr>
            <w:tcW w:w="1079" w:type="dxa"/>
          </w:tcPr>
          <w:p w14:paraId="7238E75D" w14:textId="77777777" w:rsidR="00633896" w:rsidRDefault="00633896" w:rsidP="00921456">
            <w:pPr>
              <w:rPr>
                <w:szCs w:val="24"/>
              </w:rPr>
            </w:pPr>
          </w:p>
        </w:tc>
      </w:tr>
      <w:tr w:rsidR="007E4E22" w14:paraId="42536B4F" w14:textId="0C10D8AB" w:rsidTr="00516D5E">
        <w:tc>
          <w:tcPr>
            <w:tcW w:w="2781" w:type="dxa"/>
          </w:tcPr>
          <w:p w14:paraId="40666A09" w14:textId="0076A0B3" w:rsidR="00633896" w:rsidRDefault="00633896" w:rsidP="00921456">
            <w:pPr>
              <w:rPr>
                <w:szCs w:val="24"/>
              </w:rPr>
            </w:pPr>
            <w:r>
              <w:rPr>
                <w:szCs w:val="24"/>
              </w:rPr>
              <w:t>Alignement ou remplacement du BMAG</w:t>
            </w:r>
          </w:p>
        </w:tc>
        <w:tc>
          <w:tcPr>
            <w:tcW w:w="1331" w:type="dxa"/>
          </w:tcPr>
          <w:p w14:paraId="33FEC4B2" w14:textId="77777777" w:rsidR="00633896" w:rsidRDefault="00633896" w:rsidP="00921456">
            <w:pPr>
              <w:rPr>
                <w:szCs w:val="24"/>
              </w:rPr>
            </w:pPr>
          </w:p>
        </w:tc>
        <w:tc>
          <w:tcPr>
            <w:tcW w:w="1714" w:type="dxa"/>
          </w:tcPr>
          <w:p w14:paraId="4FCCA9F1" w14:textId="61FFA394" w:rsidR="00633896" w:rsidRDefault="00633896" w:rsidP="00921456">
            <w:pPr>
              <w:rPr>
                <w:szCs w:val="24"/>
              </w:rPr>
            </w:pPr>
            <w:r>
              <w:rPr>
                <w:szCs w:val="24"/>
              </w:rPr>
              <w:t>*</w:t>
            </w:r>
          </w:p>
        </w:tc>
        <w:tc>
          <w:tcPr>
            <w:tcW w:w="1330" w:type="dxa"/>
          </w:tcPr>
          <w:p w14:paraId="79A0751D" w14:textId="27335995" w:rsidR="00633896" w:rsidRDefault="00633896" w:rsidP="00921456">
            <w:pPr>
              <w:rPr>
                <w:szCs w:val="24"/>
              </w:rPr>
            </w:pPr>
            <w:r>
              <w:rPr>
                <w:szCs w:val="24"/>
              </w:rPr>
              <w:t>*</w:t>
            </w:r>
          </w:p>
        </w:tc>
        <w:tc>
          <w:tcPr>
            <w:tcW w:w="966" w:type="dxa"/>
          </w:tcPr>
          <w:p w14:paraId="1BB9CF53" w14:textId="78006EE2" w:rsidR="00633896" w:rsidRDefault="00633896" w:rsidP="00921456">
            <w:pPr>
              <w:rPr>
                <w:szCs w:val="24"/>
              </w:rPr>
            </w:pPr>
            <w:r>
              <w:rPr>
                <w:szCs w:val="24"/>
              </w:rPr>
              <w:t>*</w:t>
            </w:r>
          </w:p>
        </w:tc>
        <w:tc>
          <w:tcPr>
            <w:tcW w:w="1255" w:type="dxa"/>
          </w:tcPr>
          <w:p w14:paraId="0238E645" w14:textId="43AAD86D" w:rsidR="00633896" w:rsidRDefault="00633896" w:rsidP="00921456">
            <w:pPr>
              <w:rPr>
                <w:szCs w:val="24"/>
              </w:rPr>
            </w:pPr>
            <w:r>
              <w:rPr>
                <w:szCs w:val="24"/>
              </w:rPr>
              <w:t>*</w:t>
            </w:r>
          </w:p>
        </w:tc>
        <w:tc>
          <w:tcPr>
            <w:tcW w:w="1079" w:type="dxa"/>
          </w:tcPr>
          <w:p w14:paraId="7D54D196" w14:textId="77777777" w:rsidR="00633896" w:rsidRDefault="00633896" w:rsidP="00921456">
            <w:pPr>
              <w:rPr>
                <w:szCs w:val="24"/>
              </w:rPr>
            </w:pPr>
          </w:p>
        </w:tc>
      </w:tr>
      <w:tr w:rsidR="007E4E22" w14:paraId="5C5D7899" w14:textId="39F973E9" w:rsidTr="00516D5E">
        <w:tc>
          <w:tcPr>
            <w:tcW w:w="2781" w:type="dxa"/>
          </w:tcPr>
          <w:p w14:paraId="15488C78" w14:textId="6A83548C" w:rsidR="00633896" w:rsidRDefault="00633896" w:rsidP="00921456">
            <w:pPr>
              <w:rPr>
                <w:szCs w:val="24"/>
              </w:rPr>
            </w:pPr>
            <w:r>
              <w:rPr>
                <w:szCs w:val="24"/>
              </w:rPr>
              <w:t>Remplacement de la cible</w:t>
            </w:r>
          </w:p>
        </w:tc>
        <w:tc>
          <w:tcPr>
            <w:tcW w:w="1331" w:type="dxa"/>
          </w:tcPr>
          <w:p w14:paraId="1B41981C" w14:textId="77777777" w:rsidR="00633896" w:rsidRDefault="00633896" w:rsidP="00921456">
            <w:pPr>
              <w:rPr>
                <w:szCs w:val="24"/>
              </w:rPr>
            </w:pPr>
          </w:p>
        </w:tc>
        <w:tc>
          <w:tcPr>
            <w:tcW w:w="1714" w:type="dxa"/>
          </w:tcPr>
          <w:p w14:paraId="3E752CB5" w14:textId="4B4F6044" w:rsidR="00633896" w:rsidRDefault="00633896" w:rsidP="00921456">
            <w:pPr>
              <w:rPr>
                <w:szCs w:val="24"/>
              </w:rPr>
            </w:pPr>
            <w:r>
              <w:rPr>
                <w:szCs w:val="24"/>
              </w:rPr>
              <w:t>*</w:t>
            </w:r>
          </w:p>
        </w:tc>
        <w:tc>
          <w:tcPr>
            <w:tcW w:w="1330" w:type="dxa"/>
          </w:tcPr>
          <w:p w14:paraId="304100FC" w14:textId="3F2CEFA3" w:rsidR="00633896" w:rsidRDefault="00633896" w:rsidP="00921456">
            <w:pPr>
              <w:rPr>
                <w:szCs w:val="24"/>
              </w:rPr>
            </w:pPr>
            <w:r>
              <w:rPr>
                <w:szCs w:val="24"/>
              </w:rPr>
              <w:t>*</w:t>
            </w:r>
          </w:p>
        </w:tc>
        <w:tc>
          <w:tcPr>
            <w:tcW w:w="966" w:type="dxa"/>
          </w:tcPr>
          <w:p w14:paraId="48CF863C" w14:textId="39F21F60" w:rsidR="00633896" w:rsidRDefault="00633896" w:rsidP="00921456">
            <w:pPr>
              <w:rPr>
                <w:szCs w:val="24"/>
              </w:rPr>
            </w:pPr>
            <w:r>
              <w:rPr>
                <w:szCs w:val="24"/>
              </w:rPr>
              <w:t>*</w:t>
            </w:r>
          </w:p>
        </w:tc>
        <w:tc>
          <w:tcPr>
            <w:tcW w:w="1255" w:type="dxa"/>
          </w:tcPr>
          <w:p w14:paraId="359CBF05" w14:textId="18AA7394" w:rsidR="00633896" w:rsidRDefault="00633896" w:rsidP="00921456">
            <w:pPr>
              <w:rPr>
                <w:szCs w:val="24"/>
              </w:rPr>
            </w:pPr>
            <w:r>
              <w:rPr>
                <w:szCs w:val="24"/>
              </w:rPr>
              <w:t>*</w:t>
            </w:r>
          </w:p>
        </w:tc>
        <w:tc>
          <w:tcPr>
            <w:tcW w:w="1079" w:type="dxa"/>
          </w:tcPr>
          <w:p w14:paraId="31E07468" w14:textId="77777777" w:rsidR="00633896" w:rsidRDefault="00633896" w:rsidP="00921456">
            <w:pPr>
              <w:rPr>
                <w:szCs w:val="24"/>
              </w:rPr>
            </w:pPr>
          </w:p>
        </w:tc>
      </w:tr>
      <w:tr w:rsidR="007E4E22" w14:paraId="571DEA49" w14:textId="0ADE8D8E" w:rsidTr="00516D5E">
        <w:tc>
          <w:tcPr>
            <w:tcW w:w="2781" w:type="dxa"/>
          </w:tcPr>
          <w:p w14:paraId="08E86665" w14:textId="1751E29A" w:rsidR="00633896" w:rsidRDefault="00633896" w:rsidP="00921456">
            <w:pPr>
              <w:rPr>
                <w:szCs w:val="24"/>
              </w:rPr>
            </w:pPr>
            <w:r>
              <w:rPr>
                <w:szCs w:val="24"/>
              </w:rPr>
              <w:t>Réalignement de la cible</w:t>
            </w:r>
          </w:p>
        </w:tc>
        <w:tc>
          <w:tcPr>
            <w:tcW w:w="1331" w:type="dxa"/>
          </w:tcPr>
          <w:p w14:paraId="56ACD7E1" w14:textId="77777777" w:rsidR="00633896" w:rsidRDefault="00633896" w:rsidP="00921456">
            <w:pPr>
              <w:rPr>
                <w:szCs w:val="24"/>
              </w:rPr>
            </w:pPr>
          </w:p>
        </w:tc>
        <w:tc>
          <w:tcPr>
            <w:tcW w:w="1714" w:type="dxa"/>
          </w:tcPr>
          <w:p w14:paraId="3FE2AC81" w14:textId="3B6EFE58" w:rsidR="00633896" w:rsidRDefault="00633896" w:rsidP="00921456">
            <w:pPr>
              <w:rPr>
                <w:szCs w:val="24"/>
              </w:rPr>
            </w:pPr>
            <w:r>
              <w:rPr>
                <w:szCs w:val="24"/>
              </w:rPr>
              <w:t>*</w:t>
            </w:r>
          </w:p>
        </w:tc>
        <w:tc>
          <w:tcPr>
            <w:tcW w:w="1330" w:type="dxa"/>
          </w:tcPr>
          <w:p w14:paraId="76009B90" w14:textId="2C204BFD" w:rsidR="00633896" w:rsidRDefault="00633896" w:rsidP="00921456">
            <w:pPr>
              <w:rPr>
                <w:szCs w:val="24"/>
              </w:rPr>
            </w:pPr>
            <w:r>
              <w:rPr>
                <w:szCs w:val="24"/>
              </w:rPr>
              <w:t>*</w:t>
            </w:r>
          </w:p>
        </w:tc>
        <w:tc>
          <w:tcPr>
            <w:tcW w:w="966" w:type="dxa"/>
          </w:tcPr>
          <w:p w14:paraId="105CE731" w14:textId="6E0FF077" w:rsidR="00633896" w:rsidRDefault="00633896" w:rsidP="00921456">
            <w:pPr>
              <w:rPr>
                <w:szCs w:val="24"/>
              </w:rPr>
            </w:pPr>
            <w:r>
              <w:rPr>
                <w:szCs w:val="24"/>
              </w:rPr>
              <w:t>*</w:t>
            </w:r>
          </w:p>
        </w:tc>
        <w:tc>
          <w:tcPr>
            <w:tcW w:w="1255" w:type="dxa"/>
          </w:tcPr>
          <w:p w14:paraId="4526B31C" w14:textId="7488F0F9" w:rsidR="00633896" w:rsidRDefault="00633896" w:rsidP="00921456">
            <w:pPr>
              <w:rPr>
                <w:szCs w:val="24"/>
              </w:rPr>
            </w:pPr>
            <w:r>
              <w:rPr>
                <w:szCs w:val="24"/>
              </w:rPr>
              <w:t>*</w:t>
            </w:r>
          </w:p>
        </w:tc>
        <w:tc>
          <w:tcPr>
            <w:tcW w:w="1079" w:type="dxa"/>
          </w:tcPr>
          <w:p w14:paraId="16E936E9" w14:textId="77777777" w:rsidR="00633896" w:rsidRDefault="00633896" w:rsidP="00921456">
            <w:pPr>
              <w:rPr>
                <w:szCs w:val="24"/>
              </w:rPr>
            </w:pPr>
          </w:p>
        </w:tc>
      </w:tr>
      <w:tr w:rsidR="007E4E22" w14:paraId="1FC4AC78" w14:textId="0BEC5693" w:rsidTr="00516D5E">
        <w:tc>
          <w:tcPr>
            <w:tcW w:w="2781" w:type="dxa"/>
          </w:tcPr>
          <w:p w14:paraId="31B1E828" w14:textId="26474521" w:rsidR="00633896" w:rsidRDefault="00633896" w:rsidP="00921456">
            <w:pPr>
              <w:rPr>
                <w:szCs w:val="24"/>
              </w:rPr>
            </w:pPr>
            <w:r>
              <w:rPr>
                <w:szCs w:val="24"/>
              </w:rPr>
              <w:t>Remplacement du canon à électron</w:t>
            </w:r>
          </w:p>
        </w:tc>
        <w:tc>
          <w:tcPr>
            <w:tcW w:w="1331" w:type="dxa"/>
          </w:tcPr>
          <w:p w14:paraId="1124271E" w14:textId="77777777" w:rsidR="00633896" w:rsidRDefault="00633896" w:rsidP="00921456">
            <w:pPr>
              <w:rPr>
                <w:szCs w:val="24"/>
              </w:rPr>
            </w:pPr>
          </w:p>
        </w:tc>
        <w:tc>
          <w:tcPr>
            <w:tcW w:w="1714" w:type="dxa"/>
          </w:tcPr>
          <w:p w14:paraId="32FD628C" w14:textId="1733BB7D" w:rsidR="00633896" w:rsidRDefault="00633896" w:rsidP="00921456">
            <w:pPr>
              <w:rPr>
                <w:szCs w:val="24"/>
              </w:rPr>
            </w:pPr>
            <w:r>
              <w:rPr>
                <w:szCs w:val="24"/>
              </w:rPr>
              <w:t>*</w:t>
            </w:r>
          </w:p>
        </w:tc>
        <w:tc>
          <w:tcPr>
            <w:tcW w:w="1330" w:type="dxa"/>
          </w:tcPr>
          <w:p w14:paraId="3DBA54A0" w14:textId="77777777" w:rsidR="00633896" w:rsidRDefault="00633896" w:rsidP="00921456">
            <w:pPr>
              <w:rPr>
                <w:szCs w:val="24"/>
              </w:rPr>
            </w:pPr>
          </w:p>
        </w:tc>
        <w:tc>
          <w:tcPr>
            <w:tcW w:w="966" w:type="dxa"/>
          </w:tcPr>
          <w:p w14:paraId="304D47B5" w14:textId="36AC5C3D" w:rsidR="00633896" w:rsidRDefault="00633896" w:rsidP="00921456">
            <w:pPr>
              <w:rPr>
                <w:szCs w:val="24"/>
              </w:rPr>
            </w:pPr>
            <w:r>
              <w:rPr>
                <w:szCs w:val="24"/>
              </w:rPr>
              <w:t>*</w:t>
            </w:r>
          </w:p>
        </w:tc>
        <w:tc>
          <w:tcPr>
            <w:tcW w:w="1255" w:type="dxa"/>
          </w:tcPr>
          <w:p w14:paraId="62650DB3" w14:textId="0D5B61FC" w:rsidR="00633896" w:rsidRDefault="00633896" w:rsidP="00921456">
            <w:pPr>
              <w:rPr>
                <w:szCs w:val="24"/>
              </w:rPr>
            </w:pPr>
            <w:r>
              <w:rPr>
                <w:szCs w:val="24"/>
              </w:rPr>
              <w:t>*</w:t>
            </w:r>
          </w:p>
        </w:tc>
        <w:tc>
          <w:tcPr>
            <w:tcW w:w="1079" w:type="dxa"/>
          </w:tcPr>
          <w:p w14:paraId="04C1F549" w14:textId="77777777" w:rsidR="00633896" w:rsidRDefault="00633896" w:rsidP="00921456">
            <w:pPr>
              <w:rPr>
                <w:szCs w:val="24"/>
              </w:rPr>
            </w:pPr>
          </w:p>
        </w:tc>
      </w:tr>
      <w:tr w:rsidR="007E4E22" w14:paraId="7530DD22" w14:textId="1FEBA79F" w:rsidTr="00516D5E">
        <w:tc>
          <w:tcPr>
            <w:tcW w:w="2781" w:type="dxa"/>
          </w:tcPr>
          <w:p w14:paraId="57193688" w14:textId="58B05742" w:rsidR="00633896" w:rsidRDefault="00633896" w:rsidP="00633896">
            <w:pPr>
              <w:rPr>
                <w:szCs w:val="24"/>
              </w:rPr>
            </w:pPr>
            <w:r>
              <w:rPr>
                <w:szCs w:val="24"/>
              </w:rPr>
              <w:t>Remplacement du commutateur d’énergie</w:t>
            </w:r>
          </w:p>
        </w:tc>
        <w:tc>
          <w:tcPr>
            <w:tcW w:w="1331" w:type="dxa"/>
          </w:tcPr>
          <w:p w14:paraId="7D4DEF6C" w14:textId="77777777" w:rsidR="00633896" w:rsidRDefault="00633896" w:rsidP="00921456">
            <w:pPr>
              <w:rPr>
                <w:szCs w:val="24"/>
              </w:rPr>
            </w:pPr>
          </w:p>
        </w:tc>
        <w:tc>
          <w:tcPr>
            <w:tcW w:w="1714" w:type="dxa"/>
          </w:tcPr>
          <w:p w14:paraId="31E6F148" w14:textId="00105F57" w:rsidR="00633896" w:rsidRDefault="00633896" w:rsidP="00921456">
            <w:pPr>
              <w:rPr>
                <w:szCs w:val="24"/>
              </w:rPr>
            </w:pPr>
            <w:r>
              <w:rPr>
                <w:szCs w:val="24"/>
              </w:rPr>
              <w:t>*</w:t>
            </w:r>
          </w:p>
        </w:tc>
        <w:tc>
          <w:tcPr>
            <w:tcW w:w="1330" w:type="dxa"/>
          </w:tcPr>
          <w:p w14:paraId="03C31221" w14:textId="77777777" w:rsidR="00633896" w:rsidRDefault="00633896" w:rsidP="00921456">
            <w:pPr>
              <w:rPr>
                <w:szCs w:val="24"/>
              </w:rPr>
            </w:pPr>
          </w:p>
        </w:tc>
        <w:tc>
          <w:tcPr>
            <w:tcW w:w="966" w:type="dxa"/>
          </w:tcPr>
          <w:p w14:paraId="6D9B2D97" w14:textId="0F263059" w:rsidR="00633896" w:rsidRDefault="00633896" w:rsidP="00921456">
            <w:pPr>
              <w:rPr>
                <w:szCs w:val="24"/>
              </w:rPr>
            </w:pPr>
            <w:r>
              <w:rPr>
                <w:szCs w:val="24"/>
              </w:rPr>
              <w:t>*</w:t>
            </w:r>
          </w:p>
        </w:tc>
        <w:tc>
          <w:tcPr>
            <w:tcW w:w="1255" w:type="dxa"/>
          </w:tcPr>
          <w:p w14:paraId="6E851F7C" w14:textId="47199276" w:rsidR="00633896" w:rsidRDefault="00633896" w:rsidP="00921456">
            <w:pPr>
              <w:rPr>
                <w:szCs w:val="24"/>
              </w:rPr>
            </w:pPr>
            <w:r>
              <w:rPr>
                <w:szCs w:val="24"/>
              </w:rPr>
              <w:t>*</w:t>
            </w:r>
          </w:p>
        </w:tc>
        <w:tc>
          <w:tcPr>
            <w:tcW w:w="1079" w:type="dxa"/>
          </w:tcPr>
          <w:p w14:paraId="2E8A37C9" w14:textId="77777777" w:rsidR="00633896" w:rsidRDefault="00633896" w:rsidP="00921456">
            <w:pPr>
              <w:rPr>
                <w:szCs w:val="24"/>
              </w:rPr>
            </w:pPr>
          </w:p>
        </w:tc>
      </w:tr>
      <w:tr w:rsidR="007E4E22" w14:paraId="43E56DC3" w14:textId="77777777" w:rsidTr="00516D5E">
        <w:tc>
          <w:tcPr>
            <w:tcW w:w="2781" w:type="dxa"/>
          </w:tcPr>
          <w:p w14:paraId="11A1567F" w14:textId="479EF94F" w:rsidR="00633896" w:rsidRDefault="00633896" w:rsidP="00633896">
            <w:pPr>
              <w:rPr>
                <w:szCs w:val="24"/>
              </w:rPr>
            </w:pPr>
            <w:r>
              <w:rPr>
                <w:szCs w:val="24"/>
              </w:rPr>
              <w:t>Alignement du solénoïde de la section accélératrice ou changement de configuration</w:t>
            </w:r>
          </w:p>
        </w:tc>
        <w:tc>
          <w:tcPr>
            <w:tcW w:w="1331" w:type="dxa"/>
          </w:tcPr>
          <w:p w14:paraId="758003F3" w14:textId="77777777" w:rsidR="00633896" w:rsidRDefault="00633896" w:rsidP="00921456">
            <w:pPr>
              <w:rPr>
                <w:szCs w:val="24"/>
              </w:rPr>
            </w:pPr>
          </w:p>
        </w:tc>
        <w:tc>
          <w:tcPr>
            <w:tcW w:w="1714" w:type="dxa"/>
          </w:tcPr>
          <w:p w14:paraId="4B247BDC" w14:textId="77777777" w:rsidR="00633896" w:rsidRDefault="00633896" w:rsidP="00921456">
            <w:pPr>
              <w:rPr>
                <w:szCs w:val="24"/>
              </w:rPr>
            </w:pPr>
          </w:p>
        </w:tc>
        <w:tc>
          <w:tcPr>
            <w:tcW w:w="1330" w:type="dxa"/>
          </w:tcPr>
          <w:p w14:paraId="51B0870E" w14:textId="7966E890" w:rsidR="00633896" w:rsidRDefault="00D90CA3" w:rsidP="00921456">
            <w:pPr>
              <w:rPr>
                <w:szCs w:val="24"/>
              </w:rPr>
            </w:pPr>
            <w:r>
              <w:rPr>
                <w:szCs w:val="24"/>
              </w:rPr>
              <w:t>*</w:t>
            </w:r>
          </w:p>
        </w:tc>
        <w:tc>
          <w:tcPr>
            <w:tcW w:w="966" w:type="dxa"/>
          </w:tcPr>
          <w:p w14:paraId="7C39FFA5" w14:textId="77777777" w:rsidR="00633896" w:rsidRDefault="00633896" w:rsidP="00921456">
            <w:pPr>
              <w:rPr>
                <w:szCs w:val="24"/>
              </w:rPr>
            </w:pPr>
          </w:p>
        </w:tc>
        <w:tc>
          <w:tcPr>
            <w:tcW w:w="1255" w:type="dxa"/>
          </w:tcPr>
          <w:p w14:paraId="58115BCB" w14:textId="7BF4C908" w:rsidR="00633896" w:rsidRDefault="00D90CA3" w:rsidP="00921456">
            <w:pPr>
              <w:rPr>
                <w:szCs w:val="24"/>
              </w:rPr>
            </w:pPr>
            <w:r>
              <w:rPr>
                <w:szCs w:val="24"/>
              </w:rPr>
              <w:t>*</w:t>
            </w:r>
          </w:p>
        </w:tc>
        <w:tc>
          <w:tcPr>
            <w:tcW w:w="1079" w:type="dxa"/>
          </w:tcPr>
          <w:p w14:paraId="2CFB6884" w14:textId="0ADE78E4" w:rsidR="00633896" w:rsidRDefault="00633896" w:rsidP="00921456">
            <w:pPr>
              <w:rPr>
                <w:szCs w:val="24"/>
              </w:rPr>
            </w:pPr>
          </w:p>
        </w:tc>
      </w:tr>
      <w:tr w:rsidR="007E4E22" w14:paraId="6F7819FB" w14:textId="77777777" w:rsidTr="00516D5E">
        <w:tc>
          <w:tcPr>
            <w:tcW w:w="2781" w:type="dxa"/>
          </w:tcPr>
          <w:p w14:paraId="1A642861" w14:textId="661A3529" w:rsidR="00633896" w:rsidRDefault="00D90CA3" w:rsidP="00633896">
            <w:pPr>
              <w:rPr>
                <w:szCs w:val="24"/>
              </w:rPr>
            </w:pPr>
            <w:r>
              <w:rPr>
                <w:szCs w:val="24"/>
              </w:rPr>
              <w:t>BMAG P/S ou remplacement du BMAG</w:t>
            </w:r>
          </w:p>
        </w:tc>
        <w:tc>
          <w:tcPr>
            <w:tcW w:w="1331" w:type="dxa"/>
          </w:tcPr>
          <w:p w14:paraId="0F6DD9FF" w14:textId="77777777" w:rsidR="00633896" w:rsidRDefault="00633896" w:rsidP="00921456">
            <w:pPr>
              <w:rPr>
                <w:szCs w:val="24"/>
              </w:rPr>
            </w:pPr>
          </w:p>
        </w:tc>
        <w:tc>
          <w:tcPr>
            <w:tcW w:w="1714" w:type="dxa"/>
          </w:tcPr>
          <w:p w14:paraId="0450CD6D" w14:textId="77777777" w:rsidR="00633896" w:rsidRDefault="00633896" w:rsidP="00921456">
            <w:pPr>
              <w:rPr>
                <w:szCs w:val="24"/>
              </w:rPr>
            </w:pPr>
          </w:p>
        </w:tc>
        <w:tc>
          <w:tcPr>
            <w:tcW w:w="1330" w:type="dxa"/>
          </w:tcPr>
          <w:p w14:paraId="2AE59482" w14:textId="167654A5" w:rsidR="00633896" w:rsidRDefault="00D90CA3" w:rsidP="00921456">
            <w:pPr>
              <w:rPr>
                <w:szCs w:val="24"/>
              </w:rPr>
            </w:pPr>
            <w:r>
              <w:rPr>
                <w:szCs w:val="24"/>
              </w:rPr>
              <w:t>*</w:t>
            </w:r>
          </w:p>
        </w:tc>
        <w:tc>
          <w:tcPr>
            <w:tcW w:w="966" w:type="dxa"/>
          </w:tcPr>
          <w:p w14:paraId="447F04C3" w14:textId="5499EB46" w:rsidR="00633896" w:rsidRDefault="00D90CA3" w:rsidP="00921456">
            <w:pPr>
              <w:rPr>
                <w:szCs w:val="24"/>
              </w:rPr>
            </w:pPr>
            <w:r>
              <w:rPr>
                <w:szCs w:val="24"/>
              </w:rPr>
              <w:t>*</w:t>
            </w:r>
          </w:p>
        </w:tc>
        <w:tc>
          <w:tcPr>
            <w:tcW w:w="1255" w:type="dxa"/>
          </w:tcPr>
          <w:p w14:paraId="57E675E5" w14:textId="2FE3B226" w:rsidR="00633896" w:rsidRDefault="00D90CA3" w:rsidP="00921456">
            <w:pPr>
              <w:rPr>
                <w:szCs w:val="24"/>
              </w:rPr>
            </w:pPr>
            <w:r>
              <w:rPr>
                <w:szCs w:val="24"/>
              </w:rPr>
              <w:t>*</w:t>
            </w:r>
          </w:p>
        </w:tc>
        <w:tc>
          <w:tcPr>
            <w:tcW w:w="1079" w:type="dxa"/>
          </w:tcPr>
          <w:p w14:paraId="3F45AFDA" w14:textId="77777777" w:rsidR="00633896" w:rsidRDefault="00633896" w:rsidP="00921456">
            <w:pPr>
              <w:rPr>
                <w:szCs w:val="24"/>
              </w:rPr>
            </w:pPr>
          </w:p>
        </w:tc>
      </w:tr>
      <w:tr w:rsidR="007E4E22" w14:paraId="6A1373E0" w14:textId="77777777" w:rsidTr="00516D5E">
        <w:tc>
          <w:tcPr>
            <w:tcW w:w="2781" w:type="dxa"/>
          </w:tcPr>
          <w:p w14:paraId="7F167D9F" w14:textId="5561E7F4" w:rsidR="00633896" w:rsidRDefault="007E4E22" w:rsidP="00633896">
            <w:pPr>
              <w:rPr>
                <w:szCs w:val="24"/>
              </w:rPr>
            </w:pPr>
            <w:r>
              <w:rPr>
                <w:szCs w:val="24"/>
              </w:rPr>
              <w:t xml:space="preserve">Ajout d’une </w:t>
            </w:r>
            <w:proofErr w:type="spellStart"/>
            <w:r>
              <w:rPr>
                <w:szCs w:val="24"/>
              </w:rPr>
              <w:t>nvelle</w:t>
            </w:r>
            <w:proofErr w:type="spellEnd"/>
            <w:r>
              <w:rPr>
                <w:szCs w:val="24"/>
              </w:rPr>
              <w:t xml:space="preserve"> énergie</w:t>
            </w:r>
          </w:p>
        </w:tc>
        <w:tc>
          <w:tcPr>
            <w:tcW w:w="1331" w:type="dxa"/>
          </w:tcPr>
          <w:p w14:paraId="1CDE3DCA" w14:textId="77777777" w:rsidR="00633896" w:rsidRDefault="00633896" w:rsidP="00921456">
            <w:pPr>
              <w:rPr>
                <w:szCs w:val="24"/>
              </w:rPr>
            </w:pPr>
          </w:p>
        </w:tc>
        <w:tc>
          <w:tcPr>
            <w:tcW w:w="1714" w:type="dxa"/>
          </w:tcPr>
          <w:p w14:paraId="14F54022" w14:textId="280C5E19" w:rsidR="00633896" w:rsidRDefault="007E4E22" w:rsidP="00921456">
            <w:pPr>
              <w:rPr>
                <w:szCs w:val="24"/>
              </w:rPr>
            </w:pPr>
            <w:r>
              <w:rPr>
                <w:szCs w:val="24"/>
              </w:rPr>
              <w:t>*</w:t>
            </w:r>
          </w:p>
        </w:tc>
        <w:tc>
          <w:tcPr>
            <w:tcW w:w="1330" w:type="dxa"/>
          </w:tcPr>
          <w:p w14:paraId="1FAA1259" w14:textId="7D82B27B" w:rsidR="00633896" w:rsidRDefault="007E4E22" w:rsidP="00921456">
            <w:pPr>
              <w:rPr>
                <w:szCs w:val="24"/>
              </w:rPr>
            </w:pPr>
            <w:r>
              <w:rPr>
                <w:szCs w:val="24"/>
              </w:rPr>
              <w:t>*</w:t>
            </w:r>
          </w:p>
        </w:tc>
        <w:tc>
          <w:tcPr>
            <w:tcW w:w="966" w:type="dxa"/>
          </w:tcPr>
          <w:p w14:paraId="5A8EAA6F" w14:textId="1A060AE0" w:rsidR="00633896" w:rsidRDefault="007E4E22" w:rsidP="00921456">
            <w:pPr>
              <w:rPr>
                <w:szCs w:val="24"/>
              </w:rPr>
            </w:pPr>
            <w:r>
              <w:rPr>
                <w:szCs w:val="24"/>
              </w:rPr>
              <w:t>*</w:t>
            </w:r>
          </w:p>
        </w:tc>
        <w:tc>
          <w:tcPr>
            <w:tcW w:w="1255" w:type="dxa"/>
          </w:tcPr>
          <w:p w14:paraId="2E2D56D1" w14:textId="74DC0651" w:rsidR="00633896" w:rsidRDefault="007E4E22" w:rsidP="00921456">
            <w:pPr>
              <w:rPr>
                <w:szCs w:val="24"/>
              </w:rPr>
            </w:pPr>
            <w:r>
              <w:rPr>
                <w:szCs w:val="24"/>
              </w:rPr>
              <w:t>*</w:t>
            </w:r>
          </w:p>
        </w:tc>
        <w:tc>
          <w:tcPr>
            <w:tcW w:w="1079" w:type="dxa"/>
          </w:tcPr>
          <w:p w14:paraId="1C685862" w14:textId="77777777" w:rsidR="00633896" w:rsidRDefault="00633896" w:rsidP="00921456">
            <w:pPr>
              <w:rPr>
                <w:szCs w:val="24"/>
              </w:rPr>
            </w:pPr>
          </w:p>
        </w:tc>
      </w:tr>
      <w:tr w:rsidR="007E4E22" w14:paraId="4BDD9BC7" w14:textId="77777777" w:rsidTr="00516D5E">
        <w:tc>
          <w:tcPr>
            <w:tcW w:w="2781" w:type="dxa"/>
          </w:tcPr>
          <w:p w14:paraId="0F210B16" w14:textId="4540E0B5" w:rsidR="00633896" w:rsidRDefault="007E4E22" w:rsidP="00633896">
            <w:pPr>
              <w:rPr>
                <w:szCs w:val="24"/>
              </w:rPr>
            </w:pPr>
            <w:r>
              <w:rPr>
                <w:szCs w:val="24"/>
              </w:rPr>
              <w:t>Réinstallation de la chambre à transmission</w:t>
            </w:r>
          </w:p>
        </w:tc>
        <w:tc>
          <w:tcPr>
            <w:tcW w:w="1331" w:type="dxa"/>
          </w:tcPr>
          <w:p w14:paraId="01B30ECE" w14:textId="77777777" w:rsidR="00633896" w:rsidRDefault="00633896" w:rsidP="00921456">
            <w:pPr>
              <w:rPr>
                <w:szCs w:val="24"/>
              </w:rPr>
            </w:pPr>
          </w:p>
        </w:tc>
        <w:tc>
          <w:tcPr>
            <w:tcW w:w="1714" w:type="dxa"/>
          </w:tcPr>
          <w:p w14:paraId="4D4BB712" w14:textId="64F94C67" w:rsidR="00633896" w:rsidRDefault="007E4E22" w:rsidP="00921456">
            <w:pPr>
              <w:rPr>
                <w:szCs w:val="24"/>
              </w:rPr>
            </w:pPr>
            <w:r>
              <w:rPr>
                <w:szCs w:val="24"/>
              </w:rPr>
              <w:t>*</w:t>
            </w:r>
          </w:p>
        </w:tc>
        <w:tc>
          <w:tcPr>
            <w:tcW w:w="1330" w:type="dxa"/>
          </w:tcPr>
          <w:p w14:paraId="6CBB1D42" w14:textId="34C05076" w:rsidR="00633896" w:rsidRDefault="00633896" w:rsidP="00921456">
            <w:pPr>
              <w:rPr>
                <w:szCs w:val="24"/>
              </w:rPr>
            </w:pPr>
          </w:p>
        </w:tc>
        <w:tc>
          <w:tcPr>
            <w:tcW w:w="966" w:type="dxa"/>
          </w:tcPr>
          <w:p w14:paraId="615E5726" w14:textId="50DB97E2" w:rsidR="00633896" w:rsidRDefault="007E4E22" w:rsidP="00921456">
            <w:pPr>
              <w:rPr>
                <w:szCs w:val="24"/>
              </w:rPr>
            </w:pPr>
            <w:r>
              <w:rPr>
                <w:szCs w:val="24"/>
              </w:rPr>
              <w:t>*</w:t>
            </w:r>
          </w:p>
        </w:tc>
        <w:tc>
          <w:tcPr>
            <w:tcW w:w="1255" w:type="dxa"/>
          </w:tcPr>
          <w:p w14:paraId="7B42357A" w14:textId="135E8ADA" w:rsidR="00633896" w:rsidRDefault="007E4E22" w:rsidP="00921456">
            <w:pPr>
              <w:rPr>
                <w:szCs w:val="24"/>
              </w:rPr>
            </w:pPr>
            <w:r>
              <w:rPr>
                <w:szCs w:val="24"/>
              </w:rPr>
              <w:t>*</w:t>
            </w:r>
          </w:p>
        </w:tc>
        <w:tc>
          <w:tcPr>
            <w:tcW w:w="1079" w:type="dxa"/>
          </w:tcPr>
          <w:p w14:paraId="360A8002" w14:textId="77777777" w:rsidR="00633896" w:rsidRDefault="00633896" w:rsidP="00921456">
            <w:pPr>
              <w:rPr>
                <w:szCs w:val="24"/>
              </w:rPr>
            </w:pPr>
          </w:p>
        </w:tc>
      </w:tr>
      <w:tr w:rsidR="007E4E22" w14:paraId="0234FF9D" w14:textId="77777777" w:rsidTr="00516D5E">
        <w:tc>
          <w:tcPr>
            <w:tcW w:w="2781" w:type="dxa"/>
          </w:tcPr>
          <w:p w14:paraId="6C229ABA" w14:textId="70DCF69F" w:rsidR="00633896" w:rsidRDefault="007E4E22" w:rsidP="00633896">
            <w:pPr>
              <w:rPr>
                <w:szCs w:val="24"/>
              </w:rPr>
            </w:pPr>
            <w:r>
              <w:rPr>
                <w:szCs w:val="24"/>
              </w:rPr>
              <w:t>Remplacement chambre à transmission</w:t>
            </w:r>
          </w:p>
        </w:tc>
        <w:tc>
          <w:tcPr>
            <w:tcW w:w="1331" w:type="dxa"/>
          </w:tcPr>
          <w:p w14:paraId="0696BD05" w14:textId="77777777" w:rsidR="00633896" w:rsidRDefault="00633896" w:rsidP="00921456">
            <w:pPr>
              <w:rPr>
                <w:szCs w:val="24"/>
              </w:rPr>
            </w:pPr>
          </w:p>
        </w:tc>
        <w:tc>
          <w:tcPr>
            <w:tcW w:w="1714" w:type="dxa"/>
          </w:tcPr>
          <w:p w14:paraId="5FDE2E93" w14:textId="67EE266C" w:rsidR="00633896" w:rsidRDefault="007E4E22" w:rsidP="00921456">
            <w:pPr>
              <w:rPr>
                <w:szCs w:val="24"/>
              </w:rPr>
            </w:pPr>
            <w:r>
              <w:rPr>
                <w:szCs w:val="24"/>
              </w:rPr>
              <w:t>*</w:t>
            </w:r>
          </w:p>
        </w:tc>
        <w:tc>
          <w:tcPr>
            <w:tcW w:w="1330" w:type="dxa"/>
          </w:tcPr>
          <w:p w14:paraId="69AD9B5C" w14:textId="77777777" w:rsidR="00633896" w:rsidRDefault="00633896" w:rsidP="00921456">
            <w:pPr>
              <w:rPr>
                <w:szCs w:val="24"/>
              </w:rPr>
            </w:pPr>
          </w:p>
        </w:tc>
        <w:tc>
          <w:tcPr>
            <w:tcW w:w="966" w:type="dxa"/>
          </w:tcPr>
          <w:p w14:paraId="442E1015" w14:textId="3644F665" w:rsidR="00633896" w:rsidRDefault="007E4E22" w:rsidP="00921456">
            <w:pPr>
              <w:rPr>
                <w:szCs w:val="24"/>
              </w:rPr>
            </w:pPr>
            <w:r>
              <w:rPr>
                <w:szCs w:val="24"/>
              </w:rPr>
              <w:t>*</w:t>
            </w:r>
          </w:p>
        </w:tc>
        <w:tc>
          <w:tcPr>
            <w:tcW w:w="1255" w:type="dxa"/>
          </w:tcPr>
          <w:p w14:paraId="362BD28A" w14:textId="0EAD4F85" w:rsidR="00633896" w:rsidRDefault="007E4E22" w:rsidP="00921456">
            <w:pPr>
              <w:rPr>
                <w:szCs w:val="24"/>
              </w:rPr>
            </w:pPr>
            <w:r>
              <w:rPr>
                <w:szCs w:val="24"/>
              </w:rPr>
              <w:t>*</w:t>
            </w:r>
          </w:p>
        </w:tc>
        <w:tc>
          <w:tcPr>
            <w:tcW w:w="1079" w:type="dxa"/>
          </w:tcPr>
          <w:p w14:paraId="4A38DAF7" w14:textId="77777777" w:rsidR="00633896" w:rsidRDefault="00633896" w:rsidP="00921456">
            <w:pPr>
              <w:rPr>
                <w:szCs w:val="24"/>
              </w:rPr>
            </w:pPr>
          </w:p>
        </w:tc>
      </w:tr>
      <w:tr w:rsidR="007E4E22" w14:paraId="47303711" w14:textId="77777777" w:rsidTr="00516D5E">
        <w:tc>
          <w:tcPr>
            <w:tcW w:w="2781" w:type="dxa"/>
          </w:tcPr>
          <w:p w14:paraId="48E77752" w14:textId="59FFFACF" w:rsidR="00633896" w:rsidRDefault="007E4E22" w:rsidP="00633896">
            <w:pPr>
              <w:rPr>
                <w:szCs w:val="24"/>
              </w:rPr>
            </w:pPr>
            <w:r>
              <w:rPr>
                <w:szCs w:val="24"/>
              </w:rPr>
              <w:t>Remplacement câble coaxiale de la CI à transmission</w:t>
            </w:r>
          </w:p>
        </w:tc>
        <w:tc>
          <w:tcPr>
            <w:tcW w:w="1331" w:type="dxa"/>
          </w:tcPr>
          <w:p w14:paraId="72D972EE" w14:textId="77777777" w:rsidR="00633896" w:rsidRDefault="00633896" w:rsidP="00921456">
            <w:pPr>
              <w:rPr>
                <w:szCs w:val="24"/>
              </w:rPr>
            </w:pPr>
          </w:p>
        </w:tc>
        <w:tc>
          <w:tcPr>
            <w:tcW w:w="1714" w:type="dxa"/>
          </w:tcPr>
          <w:p w14:paraId="1B1B151E" w14:textId="0FFF7558" w:rsidR="00633896" w:rsidRDefault="007E4E22" w:rsidP="00921456">
            <w:pPr>
              <w:rPr>
                <w:szCs w:val="24"/>
              </w:rPr>
            </w:pPr>
            <w:r>
              <w:rPr>
                <w:szCs w:val="24"/>
              </w:rPr>
              <w:t>*</w:t>
            </w:r>
          </w:p>
        </w:tc>
        <w:tc>
          <w:tcPr>
            <w:tcW w:w="1330" w:type="dxa"/>
          </w:tcPr>
          <w:p w14:paraId="7905CEBA" w14:textId="77777777" w:rsidR="00633896" w:rsidRDefault="00633896" w:rsidP="00921456">
            <w:pPr>
              <w:rPr>
                <w:szCs w:val="24"/>
              </w:rPr>
            </w:pPr>
          </w:p>
        </w:tc>
        <w:tc>
          <w:tcPr>
            <w:tcW w:w="966" w:type="dxa"/>
          </w:tcPr>
          <w:p w14:paraId="6ED8A390" w14:textId="56455D40" w:rsidR="00633896" w:rsidRDefault="007E4E22" w:rsidP="00921456">
            <w:pPr>
              <w:rPr>
                <w:szCs w:val="24"/>
              </w:rPr>
            </w:pPr>
            <w:r>
              <w:rPr>
                <w:szCs w:val="24"/>
              </w:rPr>
              <w:t>*</w:t>
            </w:r>
          </w:p>
        </w:tc>
        <w:tc>
          <w:tcPr>
            <w:tcW w:w="1255" w:type="dxa"/>
          </w:tcPr>
          <w:p w14:paraId="0807BE08" w14:textId="3E174780" w:rsidR="00633896" w:rsidRDefault="007E4E22" w:rsidP="00921456">
            <w:pPr>
              <w:rPr>
                <w:szCs w:val="24"/>
              </w:rPr>
            </w:pPr>
            <w:r>
              <w:rPr>
                <w:szCs w:val="24"/>
              </w:rPr>
              <w:t>*</w:t>
            </w:r>
          </w:p>
        </w:tc>
        <w:tc>
          <w:tcPr>
            <w:tcW w:w="1079" w:type="dxa"/>
          </w:tcPr>
          <w:p w14:paraId="2C11EFFB" w14:textId="77777777" w:rsidR="00633896" w:rsidRDefault="00633896" w:rsidP="00921456">
            <w:pPr>
              <w:rPr>
                <w:szCs w:val="24"/>
              </w:rPr>
            </w:pPr>
          </w:p>
        </w:tc>
      </w:tr>
      <w:tr w:rsidR="007E4E22" w14:paraId="1F689BD5" w14:textId="77777777" w:rsidTr="00516D5E">
        <w:tc>
          <w:tcPr>
            <w:tcW w:w="2781" w:type="dxa"/>
          </w:tcPr>
          <w:p w14:paraId="490451CB" w14:textId="5E1F2A3C" w:rsidR="00633896" w:rsidRDefault="007E4E22" w:rsidP="00633896">
            <w:pPr>
              <w:rPr>
                <w:szCs w:val="24"/>
              </w:rPr>
            </w:pPr>
            <w:r>
              <w:rPr>
                <w:szCs w:val="24"/>
              </w:rPr>
              <w:t>Remplacement fusible console</w:t>
            </w:r>
          </w:p>
        </w:tc>
        <w:tc>
          <w:tcPr>
            <w:tcW w:w="1331" w:type="dxa"/>
          </w:tcPr>
          <w:p w14:paraId="45C2B402" w14:textId="77777777" w:rsidR="00633896" w:rsidRDefault="00633896" w:rsidP="00921456">
            <w:pPr>
              <w:rPr>
                <w:szCs w:val="24"/>
              </w:rPr>
            </w:pPr>
          </w:p>
        </w:tc>
        <w:tc>
          <w:tcPr>
            <w:tcW w:w="1714" w:type="dxa"/>
          </w:tcPr>
          <w:p w14:paraId="598093B5" w14:textId="77777777" w:rsidR="00633896" w:rsidRDefault="00633896" w:rsidP="00921456">
            <w:pPr>
              <w:rPr>
                <w:szCs w:val="24"/>
              </w:rPr>
            </w:pPr>
          </w:p>
        </w:tc>
        <w:tc>
          <w:tcPr>
            <w:tcW w:w="1330" w:type="dxa"/>
          </w:tcPr>
          <w:p w14:paraId="34AF5E92" w14:textId="77777777" w:rsidR="00633896" w:rsidRDefault="00633896" w:rsidP="00921456">
            <w:pPr>
              <w:rPr>
                <w:szCs w:val="24"/>
              </w:rPr>
            </w:pPr>
          </w:p>
        </w:tc>
        <w:tc>
          <w:tcPr>
            <w:tcW w:w="966" w:type="dxa"/>
          </w:tcPr>
          <w:p w14:paraId="46CBDC62" w14:textId="6CA42D1D" w:rsidR="00633896" w:rsidRDefault="007E4E22" w:rsidP="00921456">
            <w:pPr>
              <w:rPr>
                <w:szCs w:val="24"/>
              </w:rPr>
            </w:pPr>
            <w:r>
              <w:rPr>
                <w:szCs w:val="24"/>
              </w:rPr>
              <w:t>*</w:t>
            </w:r>
          </w:p>
        </w:tc>
        <w:tc>
          <w:tcPr>
            <w:tcW w:w="1255" w:type="dxa"/>
          </w:tcPr>
          <w:p w14:paraId="15D2712C" w14:textId="7163B242" w:rsidR="00633896" w:rsidRDefault="007E4E22" w:rsidP="00921456">
            <w:pPr>
              <w:rPr>
                <w:szCs w:val="24"/>
              </w:rPr>
            </w:pPr>
            <w:r>
              <w:rPr>
                <w:szCs w:val="24"/>
              </w:rPr>
              <w:t>*</w:t>
            </w:r>
          </w:p>
        </w:tc>
        <w:tc>
          <w:tcPr>
            <w:tcW w:w="1079" w:type="dxa"/>
          </w:tcPr>
          <w:p w14:paraId="454C6918" w14:textId="77777777" w:rsidR="00633896" w:rsidRDefault="00633896" w:rsidP="00921456">
            <w:pPr>
              <w:rPr>
                <w:szCs w:val="24"/>
              </w:rPr>
            </w:pPr>
          </w:p>
        </w:tc>
      </w:tr>
      <w:tr w:rsidR="007E4E22" w14:paraId="0C5C549C" w14:textId="77777777" w:rsidTr="00516D5E">
        <w:tc>
          <w:tcPr>
            <w:tcW w:w="2781" w:type="dxa"/>
          </w:tcPr>
          <w:p w14:paraId="4B5F51B9" w14:textId="373C1942" w:rsidR="00633896" w:rsidRDefault="007E4E22" w:rsidP="00633896">
            <w:pPr>
              <w:rPr>
                <w:szCs w:val="24"/>
              </w:rPr>
            </w:pPr>
            <w:r>
              <w:rPr>
                <w:szCs w:val="24"/>
              </w:rPr>
              <w:t>Remplacement du solénoïde du klystron ou klystron</w:t>
            </w:r>
          </w:p>
        </w:tc>
        <w:tc>
          <w:tcPr>
            <w:tcW w:w="1331" w:type="dxa"/>
          </w:tcPr>
          <w:p w14:paraId="22CF14CE" w14:textId="77777777" w:rsidR="00633896" w:rsidRDefault="00633896" w:rsidP="00921456">
            <w:pPr>
              <w:rPr>
                <w:szCs w:val="24"/>
              </w:rPr>
            </w:pPr>
          </w:p>
        </w:tc>
        <w:tc>
          <w:tcPr>
            <w:tcW w:w="1714" w:type="dxa"/>
          </w:tcPr>
          <w:p w14:paraId="7D5DDA34" w14:textId="77777777" w:rsidR="00633896" w:rsidRDefault="00633896" w:rsidP="00921456">
            <w:pPr>
              <w:rPr>
                <w:szCs w:val="24"/>
              </w:rPr>
            </w:pPr>
          </w:p>
        </w:tc>
        <w:tc>
          <w:tcPr>
            <w:tcW w:w="1330" w:type="dxa"/>
          </w:tcPr>
          <w:p w14:paraId="14890603" w14:textId="77777777" w:rsidR="00633896" w:rsidRDefault="00633896" w:rsidP="00921456">
            <w:pPr>
              <w:rPr>
                <w:szCs w:val="24"/>
              </w:rPr>
            </w:pPr>
          </w:p>
        </w:tc>
        <w:tc>
          <w:tcPr>
            <w:tcW w:w="966" w:type="dxa"/>
          </w:tcPr>
          <w:p w14:paraId="67B86426" w14:textId="77777777" w:rsidR="00633896" w:rsidRDefault="00633896" w:rsidP="00921456">
            <w:pPr>
              <w:rPr>
                <w:szCs w:val="24"/>
              </w:rPr>
            </w:pPr>
          </w:p>
        </w:tc>
        <w:tc>
          <w:tcPr>
            <w:tcW w:w="1255" w:type="dxa"/>
          </w:tcPr>
          <w:p w14:paraId="27E6F573" w14:textId="17A1BB97" w:rsidR="00633896" w:rsidRDefault="007E4E22" w:rsidP="00921456">
            <w:pPr>
              <w:rPr>
                <w:szCs w:val="24"/>
              </w:rPr>
            </w:pPr>
            <w:r>
              <w:rPr>
                <w:szCs w:val="24"/>
              </w:rPr>
              <w:t>*</w:t>
            </w:r>
          </w:p>
        </w:tc>
        <w:tc>
          <w:tcPr>
            <w:tcW w:w="1079" w:type="dxa"/>
          </w:tcPr>
          <w:p w14:paraId="626308FA" w14:textId="77777777" w:rsidR="00633896" w:rsidRDefault="00633896" w:rsidP="00921456">
            <w:pPr>
              <w:rPr>
                <w:szCs w:val="24"/>
              </w:rPr>
            </w:pPr>
          </w:p>
        </w:tc>
      </w:tr>
      <w:tr w:rsidR="007E4E22" w14:paraId="2DED729B" w14:textId="77777777" w:rsidTr="00516D5E">
        <w:tc>
          <w:tcPr>
            <w:tcW w:w="2781" w:type="dxa"/>
          </w:tcPr>
          <w:p w14:paraId="2CFA910B" w14:textId="7B5CEDBD" w:rsidR="00633896" w:rsidRDefault="007E4E22" w:rsidP="00633896">
            <w:pPr>
              <w:rPr>
                <w:szCs w:val="24"/>
              </w:rPr>
            </w:pPr>
            <w:r>
              <w:rPr>
                <w:szCs w:val="24"/>
              </w:rPr>
              <w:t>Ajustement du canon à e-</w:t>
            </w:r>
          </w:p>
        </w:tc>
        <w:tc>
          <w:tcPr>
            <w:tcW w:w="1331" w:type="dxa"/>
          </w:tcPr>
          <w:p w14:paraId="239B184F" w14:textId="77777777" w:rsidR="00633896" w:rsidRDefault="00633896" w:rsidP="00921456">
            <w:pPr>
              <w:rPr>
                <w:szCs w:val="24"/>
              </w:rPr>
            </w:pPr>
          </w:p>
        </w:tc>
        <w:tc>
          <w:tcPr>
            <w:tcW w:w="1714" w:type="dxa"/>
          </w:tcPr>
          <w:p w14:paraId="100042DA" w14:textId="77777777" w:rsidR="00633896" w:rsidRDefault="00633896" w:rsidP="00921456">
            <w:pPr>
              <w:rPr>
                <w:szCs w:val="24"/>
              </w:rPr>
            </w:pPr>
          </w:p>
        </w:tc>
        <w:tc>
          <w:tcPr>
            <w:tcW w:w="1330" w:type="dxa"/>
          </w:tcPr>
          <w:p w14:paraId="751168DA" w14:textId="77777777" w:rsidR="00633896" w:rsidRDefault="00633896" w:rsidP="00921456">
            <w:pPr>
              <w:rPr>
                <w:szCs w:val="24"/>
              </w:rPr>
            </w:pPr>
          </w:p>
        </w:tc>
        <w:tc>
          <w:tcPr>
            <w:tcW w:w="966" w:type="dxa"/>
          </w:tcPr>
          <w:p w14:paraId="37F07439" w14:textId="77777777" w:rsidR="00633896" w:rsidRDefault="00633896" w:rsidP="00921456">
            <w:pPr>
              <w:rPr>
                <w:szCs w:val="24"/>
              </w:rPr>
            </w:pPr>
          </w:p>
        </w:tc>
        <w:tc>
          <w:tcPr>
            <w:tcW w:w="1255" w:type="dxa"/>
          </w:tcPr>
          <w:p w14:paraId="1EA78075" w14:textId="371968CB" w:rsidR="00633896" w:rsidRDefault="007E4E22" w:rsidP="00921456">
            <w:pPr>
              <w:rPr>
                <w:szCs w:val="24"/>
              </w:rPr>
            </w:pPr>
            <w:r>
              <w:rPr>
                <w:szCs w:val="24"/>
              </w:rPr>
              <w:t>*</w:t>
            </w:r>
          </w:p>
        </w:tc>
        <w:tc>
          <w:tcPr>
            <w:tcW w:w="1079" w:type="dxa"/>
          </w:tcPr>
          <w:p w14:paraId="1AF7C280" w14:textId="77777777" w:rsidR="00633896" w:rsidRDefault="00633896" w:rsidP="00921456">
            <w:pPr>
              <w:rPr>
                <w:szCs w:val="24"/>
              </w:rPr>
            </w:pPr>
          </w:p>
        </w:tc>
      </w:tr>
      <w:tr w:rsidR="007E4E22" w14:paraId="443AC0FC" w14:textId="77777777" w:rsidTr="00516D5E">
        <w:tc>
          <w:tcPr>
            <w:tcW w:w="2781" w:type="dxa"/>
          </w:tcPr>
          <w:p w14:paraId="136DA399" w14:textId="2D94B69B" w:rsidR="00633896" w:rsidRDefault="007E4E22" w:rsidP="00633896">
            <w:pPr>
              <w:rPr>
                <w:szCs w:val="24"/>
              </w:rPr>
            </w:pPr>
            <w:r>
              <w:rPr>
                <w:szCs w:val="24"/>
              </w:rPr>
              <w:t>Installation ou réalignement d’un filtre</w:t>
            </w:r>
          </w:p>
        </w:tc>
        <w:tc>
          <w:tcPr>
            <w:tcW w:w="1331" w:type="dxa"/>
          </w:tcPr>
          <w:p w14:paraId="7029E564" w14:textId="77777777" w:rsidR="00633896" w:rsidRDefault="00633896" w:rsidP="00921456">
            <w:pPr>
              <w:rPr>
                <w:szCs w:val="24"/>
              </w:rPr>
            </w:pPr>
          </w:p>
        </w:tc>
        <w:tc>
          <w:tcPr>
            <w:tcW w:w="1714" w:type="dxa"/>
          </w:tcPr>
          <w:p w14:paraId="1252321B" w14:textId="5839CADB" w:rsidR="00633896" w:rsidRDefault="00633896" w:rsidP="00921456">
            <w:pPr>
              <w:rPr>
                <w:szCs w:val="24"/>
              </w:rPr>
            </w:pPr>
          </w:p>
        </w:tc>
        <w:tc>
          <w:tcPr>
            <w:tcW w:w="1330" w:type="dxa"/>
          </w:tcPr>
          <w:p w14:paraId="7658E430" w14:textId="3C280C59" w:rsidR="00633896" w:rsidRDefault="007E4E22" w:rsidP="00921456">
            <w:pPr>
              <w:rPr>
                <w:szCs w:val="24"/>
              </w:rPr>
            </w:pPr>
            <w:r>
              <w:rPr>
                <w:szCs w:val="24"/>
              </w:rPr>
              <w:t>*</w:t>
            </w:r>
          </w:p>
        </w:tc>
        <w:tc>
          <w:tcPr>
            <w:tcW w:w="966" w:type="dxa"/>
          </w:tcPr>
          <w:p w14:paraId="4B36EFFC" w14:textId="2DD409AC" w:rsidR="00633896" w:rsidRDefault="007E4E22" w:rsidP="00921456">
            <w:pPr>
              <w:rPr>
                <w:szCs w:val="24"/>
              </w:rPr>
            </w:pPr>
            <w:r>
              <w:rPr>
                <w:szCs w:val="24"/>
              </w:rPr>
              <w:t>*</w:t>
            </w:r>
          </w:p>
        </w:tc>
        <w:tc>
          <w:tcPr>
            <w:tcW w:w="1255" w:type="dxa"/>
          </w:tcPr>
          <w:p w14:paraId="15A17BC7" w14:textId="3A83CE8C" w:rsidR="00633896" w:rsidRDefault="007E4E22" w:rsidP="00921456">
            <w:pPr>
              <w:rPr>
                <w:szCs w:val="24"/>
              </w:rPr>
            </w:pPr>
            <w:r>
              <w:rPr>
                <w:szCs w:val="24"/>
              </w:rPr>
              <w:t>*</w:t>
            </w:r>
          </w:p>
        </w:tc>
        <w:tc>
          <w:tcPr>
            <w:tcW w:w="1079" w:type="dxa"/>
          </w:tcPr>
          <w:p w14:paraId="6F1643FA" w14:textId="77777777" w:rsidR="00633896" w:rsidRDefault="00633896" w:rsidP="00921456">
            <w:pPr>
              <w:rPr>
                <w:szCs w:val="24"/>
              </w:rPr>
            </w:pPr>
          </w:p>
        </w:tc>
      </w:tr>
      <w:tr w:rsidR="007E4E22" w14:paraId="69D395C5" w14:textId="77777777" w:rsidTr="00516D5E">
        <w:tc>
          <w:tcPr>
            <w:tcW w:w="2781" w:type="dxa"/>
          </w:tcPr>
          <w:p w14:paraId="00C155CB" w14:textId="2D8D3319" w:rsidR="007E4E22" w:rsidRDefault="007E4E22" w:rsidP="00633896">
            <w:pPr>
              <w:rPr>
                <w:szCs w:val="24"/>
              </w:rPr>
            </w:pPr>
            <w:r>
              <w:rPr>
                <w:szCs w:val="24"/>
              </w:rPr>
              <w:t xml:space="preserve">Remplacement ou alignement </w:t>
            </w:r>
            <w:proofErr w:type="spellStart"/>
            <w:r>
              <w:rPr>
                <w:szCs w:val="24"/>
              </w:rPr>
              <w:t>carroussel</w:t>
            </w:r>
            <w:proofErr w:type="spellEnd"/>
          </w:p>
        </w:tc>
        <w:tc>
          <w:tcPr>
            <w:tcW w:w="1331" w:type="dxa"/>
          </w:tcPr>
          <w:p w14:paraId="1404F0A4" w14:textId="77777777" w:rsidR="007E4E22" w:rsidRDefault="007E4E22" w:rsidP="00921456">
            <w:pPr>
              <w:rPr>
                <w:szCs w:val="24"/>
              </w:rPr>
            </w:pPr>
          </w:p>
        </w:tc>
        <w:tc>
          <w:tcPr>
            <w:tcW w:w="1714" w:type="dxa"/>
          </w:tcPr>
          <w:p w14:paraId="1C907748" w14:textId="77777777" w:rsidR="007E4E22" w:rsidRDefault="007E4E22" w:rsidP="00921456">
            <w:pPr>
              <w:rPr>
                <w:szCs w:val="24"/>
              </w:rPr>
            </w:pPr>
          </w:p>
        </w:tc>
        <w:tc>
          <w:tcPr>
            <w:tcW w:w="1330" w:type="dxa"/>
          </w:tcPr>
          <w:p w14:paraId="6D3CD0DE" w14:textId="77777777" w:rsidR="007E4E22" w:rsidRDefault="007E4E22" w:rsidP="00921456">
            <w:pPr>
              <w:rPr>
                <w:szCs w:val="24"/>
              </w:rPr>
            </w:pPr>
          </w:p>
        </w:tc>
        <w:tc>
          <w:tcPr>
            <w:tcW w:w="966" w:type="dxa"/>
          </w:tcPr>
          <w:p w14:paraId="5125D6B0" w14:textId="1CEE1CED" w:rsidR="007E4E22" w:rsidRDefault="007E4E22" w:rsidP="00921456">
            <w:pPr>
              <w:rPr>
                <w:szCs w:val="24"/>
              </w:rPr>
            </w:pPr>
            <w:r>
              <w:rPr>
                <w:szCs w:val="24"/>
              </w:rPr>
              <w:t>*</w:t>
            </w:r>
          </w:p>
        </w:tc>
        <w:tc>
          <w:tcPr>
            <w:tcW w:w="1255" w:type="dxa"/>
          </w:tcPr>
          <w:p w14:paraId="33A9EDBD" w14:textId="77777777" w:rsidR="007E4E22" w:rsidRDefault="007E4E22" w:rsidP="00921456">
            <w:pPr>
              <w:rPr>
                <w:szCs w:val="24"/>
              </w:rPr>
            </w:pPr>
          </w:p>
        </w:tc>
        <w:tc>
          <w:tcPr>
            <w:tcW w:w="1079" w:type="dxa"/>
          </w:tcPr>
          <w:p w14:paraId="1912304C" w14:textId="77777777" w:rsidR="007E4E22" w:rsidRDefault="007E4E22" w:rsidP="00921456">
            <w:pPr>
              <w:rPr>
                <w:szCs w:val="24"/>
              </w:rPr>
            </w:pPr>
          </w:p>
        </w:tc>
      </w:tr>
      <w:tr w:rsidR="007E4E22" w14:paraId="7F0E9FCD" w14:textId="77777777" w:rsidTr="00516D5E">
        <w:tc>
          <w:tcPr>
            <w:tcW w:w="2781" w:type="dxa"/>
          </w:tcPr>
          <w:p w14:paraId="063F3C49" w14:textId="49C18A5E" w:rsidR="007E4E22" w:rsidRDefault="00516D5E" w:rsidP="00633896">
            <w:pPr>
              <w:rPr>
                <w:szCs w:val="24"/>
              </w:rPr>
            </w:pPr>
            <w:r>
              <w:rPr>
                <w:szCs w:val="24"/>
              </w:rPr>
              <w:t xml:space="preserve">Réalignement de la tête </w:t>
            </w:r>
          </w:p>
        </w:tc>
        <w:tc>
          <w:tcPr>
            <w:tcW w:w="1331" w:type="dxa"/>
          </w:tcPr>
          <w:p w14:paraId="42F87B89" w14:textId="77777777" w:rsidR="007E4E22" w:rsidRDefault="007E4E22" w:rsidP="00921456">
            <w:pPr>
              <w:rPr>
                <w:szCs w:val="24"/>
              </w:rPr>
            </w:pPr>
          </w:p>
        </w:tc>
        <w:tc>
          <w:tcPr>
            <w:tcW w:w="1714" w:type="dxa"/>
          </w:tcPr>
          <w:p w14:paraId="51A80764" w14:textId="77777777" w:rsidR="007E4E22" w:rsidRDefault="007E4E22" w:rsidP="00921456">
            <w:pPr>
              <w:rPr>
                <w:szCs w:val="24"/>
              </w:rPr>
            </w:pPr>
          </w:p>
        </w:tc>
        <w:tc>
          <w:tcPr>
            <w:tcW w:w="1330" w:type="dxa"/>
          </w:tcPr>
          <w:p w14:paraId="36307240" w14:textId="77777777" w:rsidR="007E4E22" w:rsidRDefault="007E4E22" w:rsidP="00921456">
            <w:pPr>
              <w:rPr>
                <w:szCs w:val="24"/>
              </w:rPr>
            </w:pPr>
          </w:p>
        </w:tc>
        <w:tc>
          <w:tcPr>
            <w:tcW w:w="966" w:type="dxa"/>
          </w:tcPr>
          <w:p w14:paraId="7B9BE2CE" w14:textId="20E60327" w:rsidR="007E4E22" w:rsidRDefault="00516D5E" w:rsidP="00921456">
            <w:pPr>
              <w:rPr>
                <w:szCs w:val="24"/>
              </w:rPr>
            </w:pPr>
            <w:r>
              <w:rPr>
                <w:szCs w:val="24"/>
              </w:rPr>
              <w:t>*</w:t>
            </w:r>
          </w:p>
        </w:tc>
        <w:tc>
          <w:tcPr>
            <w:tcW w:w="1255" w:type="dxa"/>
          </w:tcPr>
          <w:p w14:paraId="2658E5B5" w14:textId="3313C231" w:rsidR="007E4E22" w:rsidRDefault="00516D5E" w:rsidP="00921456">
            <w:pPr>
              <w:rPr>
                <w:szCs w:val="24"/>
              </w:rPr>
            </w:pPr>
            <w:r>
              <w:rPr>
                <w:szCs w:val="24"/>
              </w:rPr>
              <w:t>*</w:t>
            </w:r>
          </w:p>
        </w:tc>
        <w:tc>
          <w:tcPr>
            <w:tcW w:w="1079" w:type="dxa"/>
          </w:tcPr>
          <w:p w14:paraId="3B7127BF" w14:textId="180D8F2B" w:rsidR="007E4E22" w:rsidRDefault="00516D5E" w:rsidP="00921456">
            <w:pPr>
              <w:rPr>
                <w:szCs w:val="24"/>
              </w:rPr>
            </w:pPr>
            <w:r>
              <w:rPr>
                <w:szCs w:val="24"/>
              </w:rPr>
              <w:t>*</w:t>
            </w:r>
          </w:p>
        </w:tc>
      </w:tr>
      <w:tr w:rsidR="007E4E22" w14:paraId="1606F41A" w14:textId="77777777" w:rsidTr="00516D5E">
        <w:tc>
          <w:tcPr>
            <w:tcW w:w="2781" w:type="dxa"/>
          </w:tcPr>
          <w:p w14:paraId="750D09E3" w14:textId="29063A0D" w:rsidR="007E4E22" w:rsidRDefault="00516D5E" w:rsidP="00633896">
            <w:pPr>
              <w:rPr>
                <w:szCs w:val="24"/>
              </w:rPr>
            </w:pPr>
            <w:r>
              <w:rPr>
                <w:szCs w:val="24"/>
              </w:rPr>
              <w:t>Réalignement de l’isocentre</w:t>
            </w:r>
          </w:p>
        </w:tc>
        <w:tc>
          <w:tcPr>
            <w:tcW w:w="1331" w:type="dxa"/>
          </w:tcPr>
          <w:p w14:paraId="10414207" w14:textId="77777777" w:rsidR="007E4E22" w:rsidRDefault="007E4E22" w:rsidP="00921456">
            <w:pPr>
              <w:rPr>
                <w:szCs w:val="24"/>
              </w:rPr>
            </w:pPr>
          </w:p>
        </w:tc>
        <w:tc>
          <w:tcPr>
            <w:tcW w:w="1714" w:type="dxa"/>
          </w:tcPr>
          <w:p w14:paraId="328EC40F" w14:textId="77777777" w:rsidR="007E4E22" w:rsidRDefault="007E4E22" w:rsidP="00921456">
            <w:pPr>
              <w:rPr>
                <w:szCs w:val="24"/>
              </w:rPr>
            </w:pPr>
          </w:p>
        </w:tc>
        <w:tc>
          <w:tcPr>
            <w:tcW w:w="1330" w:type="dxa"/>
          </w:tcPr>
          <w:p w14:paraId="2A045229" w14:textId="77777777" w:rsidR="007E4E22" w:rsidRDefault="007E4E22" w:rsidP="00921456">
            <w:pPr>
              <w:rPr>
                <w:szCs w:val="24"/>
              </w:rPr>
            </w:pPr>
          </w:p>
        </w:tc>
        <w:tc>
          <w:tcPr>
            <w:tcW w:w="966" w:type="dxa"/>
          </w:tcPr>
          <w:p w14:paraId="02D0B927" w14:textId="77777777" w:rsidR="007E4E22" w:rsidRDefault="007E4E22" w:rsidP="00921456">
            <w:pPr>
              <w:rPr>
                <w:szCs w:val="24"/>
              </w:rPr>
            </w:pPr>
          </w:p>
        </w:tc>
        <w:tc>
          <w:tcPr>
            <w:tcW w:w="1255" w:type="dxa"/>
          </w:tcPr>
          <w:p w14:paraId="1C5BC0DF" w14:textId="77777777" w:rsidR="007E4E22" w:rsidRDefault="007E4E22" w:rsidP="00921456">
            <w:pPr>
              <w:rPr>
                <w:szCs w:val="24"/>
              </w:rPr>
            </w:pPr>
          </w:p>
        </w:tc>
        <w:tc>
          <w:tcPr>
            <w:tcW w:w="1079" w:type="dxa"/>
          </w:tcPr>
          <w:p w14:paraId="0702EB3B" w14:textId="6EEDD7AA" w:rsidR="007E4E22" w:rsidRDefault="00516D5E" w:rsidP="00921456">
            <w:pPr>
              <w:rPr>
                <w:szCs w:val="24"/>
              </w:rPr>
            </w:pPr>
            <w:r>
              <w:rPr>
                <w:szCs w:val="24"/>
              </w:rPr>
              <w:t>*</w:t>
            </w:r>
          </w:p>
        </w:tc>
      </w:tr>
      <w:tr w:rsidR="007E4E22" w14:paraId="6EFBB09A" w14:textId="77777777" w:rsidTr="00516D5E">
        <w:tc>
          <w:tcPr>
            <w:tcW w:w="2781" w:type="dxa"/>
          </w:tcPr>
          <w:p w14:paraId="74AB401D" w14:textId="0CD13872" w:rsidR="007E4E22" w:rsidRDefault="00516D5E" w:rsidP="00633896">
            <w:pPr>
              <w:rPr>
                <w:szCs w:val="24"/>
              </w:rPr>
            </w:pPr>
            <w:r>
              <w:rPr>
                <w:szCs w:val="24"/>
              </w:rPr>
              <w:t>Réalignement de l’isocentre de la table</w:t>
            </w:r>
          </w:p>
        </w:tc>
        <w:tc>
          <w:tcPr>
            <w:tcW w:w="1331" w:type="dxa"/>
          </w:tcPr>
          <w:p w14:paraId="68C78E8C" w14:textId="77777777" w:rsidR="007E4E22" w:rsidRDefault="007E4E22" w:rsidP="00921456">
            <w:pPr>
              <w:rPr>
                <w:szCs w:val="24"/>
              </w:rPr>
            </w:pPr>
          </w:p>
        </w:tc>
        <w:tc>
          <w:tcPr>
            <w:tcW w:w="1714" w:type="dxa"/>
          </w:tcPr>
          <w:p w14:paraId="4AB46DFF" w14:textId="77777777" w:rsidR="007E4E22" w:rsidRDefault="007E4E22" w:rsidP="00921456">
            <w:pPr>
              <w:rPr>
                <w:szCs w:val="24"/>
              </w:rPr>
            </w:pPr>
          </w:p>
        </w:tc>
        <w:tc>
          <w:tcPr>
            <w:tcW w:w="1330" w:type="dxa"/>
          </w:tcPr>
          <w:p w14:paraId="06ECA103" w14:textId="77777777" w:rsidR="007E4E22" w:rsidRDefault="007E4E22" w:rsidP="00921456">
            <w:pPr>
              <w:rPr>
                <w:szCs w:val="24"/>
              </w:rPr>
            </w:pPr>
          </w:p>
        </w:tc>
        <w:tc>
          <w:tcPr>
            <w:tcW w:w="966" w:type="dxa"/>
          </w:tcPr>
          <w:p w14:paraId="3EE9AD9B" w14:textId="77777777" w:rsidR="007E4E22" w:rsidRDefault="007E4E22" w:rsidP="00921456">
            <w:pPr>
              <w:rPr>
                <w:szCs w:val="24"/>
              </w:rPr>
            </w:pPr>
          </w:p>
        </w:tc>
        <w:tc>
          <w:tcPr>
            <w:tcW w:w="1255" w:type="dxa"/>
          </w:tcPr>
          <w:p w14:paraId="25B5F205" w14:textId="77777777" w:rsidR="007E4E22" w:rsidRDefault="007E4E22" w:rsidP="00921456">
            <w:pPr>
              <w:rPr>
                <w:szCs w:val="24"/>
              </w:rPr>
            </w:pPr>
          </w:p>
        </w:tc>
        <w:tc>
          <w:tcPr>
            <w:tcW w:w="1079" w:type="dxa"/>
          </w:tcPr>
          <w:p w14:paraId="50127412" w14:textId="04E8BAC3" w:rsidR="007E4E22" w:rsidRDefault="00516D5E" w:rsidP="00921456">
            <w:pPr>
              <w:rPr>
                <w:szCs w:val="24"/>
              </w:rPr>
            </w:pPr>
            <w:r>
              <w:rPr>
                <w:szCs w:val="24"/>
              </w:rPr>
              <w:t>*</w:t>
            </w:r>
          </w:p>
        </w:tc>
      </w:tr>
    </w:tbl>
    <w:p w14:paraId="3FF3AAC2" w14:textId="73C61134" w:rsidR="00633896" w:rsidRDefault="00633896" w:rsidP="00921456">
      <w:pPr>
        <w:rPr>
          <w:szCs w:val="24"/>
        </w:rPr>
      </w:pPr>
    </w:p>
    <w:p w14:paraId="108EF805" w14:textId="57CDA2AB" w:rsidR="0034243A" w:rsidRDefault="0034243A" w:rsidP="00921456">
      <w:pPr>
        <w:rPr>
          <w:szCs w:val="24"/>
        </w:rPr>
      </w:pPr>
    </w:p>
    <w:p w14:paraId="06E66592" w14:textId="4FD357A6" w:rsidR="0034243A" w:rsidRDefault="0034243A" w:rsidP="00921456">
      <w:pPr>
        <w:rPr>
          <w:szCs w:val="24"/>
        </w:rPr>
      </w:pPr>
    </w:p>
    <w:p w14:paraId="79D64B53" w14:textId="2D14AF0E" w:rsidR="0034243A" w:rsidRDefault="0034243A" w:rsidP="00921456">
      <w:pPr>
        <w:rPr>
          <w:szCs w:val="24"/>
        </w:rPr>
      </w:pPr>
    </w:p>
    <w:p w14:paraId="0D8C8853" w14:textId="77777777" w:rsidR="0034243A" w:rsidRDefault="0034243A" w:rsidP="00921456">
      <w:pPr>
        <w:rPr>
          <w:szCs w:val="24"/>
        </w:rPr>
      </w:pPr>
    </w:p>
    <w:tbl>
      <w:tblPr>
        <w:tblStyle w:val="Grilledutableau"/>
        <w:tblW w:w="10652" w:type="dxa"/>
        <w:tblLayout w:type="fixed"/>
        <w:tblLook w:val="04A0" w:firstRow="1" w:lastRow="0" w:firstColumn="1" w:lastColumn="0" w:noHBand="0" w:noVBand="1"/>
      </w:tblPr>
      <w:tblGrid>
        <w:gridCol w:w="2527"/>
        <w:gridCol w:w="677"/>
        <w:gridCol w:w="677"/>
        <w:gridCol w:w="677"/>
        <w:gridCol w:w="677"/>
        <w:gridCol w:w="677"/>
        <w:gridCol w:w="677"/>
        <w:gridCol w:w="677"/>
        <w:gridCol w:w="677"/>
        <w:gridCol w:w="677"/>
        <w:gridCol w:w="677"/>
        <w:gridCol w:w="677"/>
        <w:gridCol w:w="678"/>
      </w:tblGrid>
      <w:tr w:rsidR="00516D5E" w14:paraId="3C00AA4E" w14:textId="77777777" w:rsidTr="00302C2B">
        <w:trPr>
          <w:cantSplit/>
          <w:trHeight w:val="2753"/>
        </w:trPr>
        <w:tc>
          <w:tcPr>
            <w:tcW w:w="2527" w:type="dxa"/>
          </w:tcPr>
          <w:p w14:paraId="5FC2A92A" w14:textId="77777777" w:rsidR="00516D5E" w:rsidRDefault="00516D5E" w:rsidP="00921456">
            <w:pPr>
              <w:rPr>
                <w:szCs w:val="24"/>
              </w:rPr>
            </w:pPr>
          </w:p>
        </w:tc>
        <w:tc>
          <w:tcPr>
            <w:tcW w:w="677" w:type="dxa"/>
            <w:textDirection w:val="btLr"/>
          </w:tcPr>
          <w:p w14:paraId="49E0A658" w14:textId="0986DA62" w:rsidR="00516D5E" w:rsidRDefault="00516D5E" w:rsidP="00516D5E">
            <w:pPr>
              <w:ind w:left="113" w:right="113"/>
              <w:rPr>
                <w:szCs w:val="24"/>
              </w:rPr>
            </w:pPr>
            <w:r>
              <w:rPr>
                <w:szCs w:val="24"/>
              </w:rPr>
              <w:t>Vérifier l’alignement du champ</w:t>
            </w:r>
          </w:p>
        </w:tc>
        <w:tc>
          <w:tcPr>
            <w:tcW w:w="677" w:type="dxa"/>
            <w:textDirection w:val="btLr"/>
          </w:tcPr>
          <w:p w14:paraId="4A5A61FF" w14:textId="1C1DCB11" w:rsidR="00516D5E" w:rsidRDefault="00516D5E" w:rsidP="00516D5E">
            <w:pPr>
              <w:ind w:left="113" w:right="113"/>
              <w:rPr>
                <w:szCs w:val="24"/>
              </w:rPr>
            </w:pPr>
            <w:r>
              <w:rPr>
                <w:szCs w:val="24"/>
              </w:rPr>
              <w:t>Vérifier l’alignement du croisillon</w:t>
            </w:r>
          </w:p>
        </w:tc>
        <w:tc>
          <w:tcPr>
            <w:tcW w:w="677" w:type="dxa"/>
            <w:textDirection w:val="btLr"/>
          </w:tcPr>
          <w:p w14:paraId="086E6049" w14:textId="2ACB6658" w:rsidR="00516D5E" w:rsidRDefault="00516D5E" w:rsidP="00516D5E">
            <w:pPr>
              <w:ind w:left="113" w:right="113"/>
              <w:rPr>
                <w:szCs w:val="24"/>
              </w:rPr>
            </w:pPr>
            <w:r>
              <w:rPr>
                <w:szCs w:val="24"/>
              </w:rPr>
              <w:t xml:space="preserve">Vérifier l’alignement du </w:t>
            </w:r>
            <w:proofErr w:type="spellStart"/>
            <w:r>
              <w:rPr>
                <w:szCs w:val="24"/>
              </w:rPr>
              <w:t>colli</w:t>
            </w:r>
            <w:proofErr w:type="spellEnd"/>
          </w:p>
        </w:tc>
        <w:tc>
          <w:tcPr>
            <w:tcW w:w="677" w:type="dxa"/>
            <w:textDirection w:val="btLr"/>
          </w:tcPr>
          <w:p w14:paraId="0D709289" w14:textId="3552D8AB" w:rsidR="00516D5E" w:rsidRDefault="00516D5E" w:rsidP="00516D5E">
            <w:pPr>
              <w:ind w:left="113" w:right="113"/>
              <w:rPr>
                <w:szCs w:val="24"/>
              </w:rPr>
            </w:pPr>
            <w:r>
              <w:rPr>
                <w:szCs w:val="24"/>
              </w:rPr>
              <w:t>V </w:t>
            </w:r>
            <w:proofErr w:type="spellStart"/>
            <w:r>
              <w:rPr>
                <w:szCs w:val="24"/>
              </w:rPr>
              <w:t>érifier</w:t>
            </w:r>
            <w:proofErr w:type="spellEnd"/>
            <w:r>
              <w:rPr>
                <w:szCs w:val="24"/>
              </w:rPr>
              <w:t xml:space="preserve"> la correspondance champ lumineux/irradié</w:t>
            </w:r>
          </w:p>
        </w:tc>
        <w:tc>
          <w:tcPr>
            <w:tcW w:w="677" w:type="dxa"/>
            <w:textDirection w:val="btLr"/>
          </w:tcPr>
          <w:p w14:paraId="32B24638" w14:textId="02413BD9" w:rsidR="00516D5E" w:rsidRDefault="00516D5E" w:rsidP="00516D5E">
            <w:pPr>
              <w:ind w:left="113" w:right="113"/>
              <w:rPr>
                <w:szCs w:val="24"/>
              </w:rPr>
            </w:pPr>
            <w:r>
              <w:rPr>
                <w:szCs w:val="24"/>
              </w:rPr>
              <w:t>Vérifier l’alignement du MLC (sur papier)</w:t>
            </w:r>
          </w:p>
        </w:tc>
        <w:tc>
          <w:tcPr>
            <w:tcW w:w="677" w:type="dxa"/>
            <w:textDirection w:val="btLr"/>
          </w:tcPr>
          <w:p w14:paraId="7C3CB1E0" w14:textId="5373224E" w:rsidR="00516D5E" w:rsidRDefault="00302C2B" w:rsidP="00516D5E">
            <w:pPr>
              <w:ind w:left="113" w:right="113"/>
              <w:rPr>
                <w:szCs w:val="24"/>
              </w:rPr>
            </w:pPr>
            <w:r>
              <w:rPr>
                <w:szCs w:val="24"/>
              </w:rPr>
              <w:t>Vérifier la calibration des mâchoires</w:t>
            </w:r>
          </w:p>
        </w:tc>
        <w:tc>
          <w:tcPr>
            <w:tcW w:w="677" w:type="dxa"/>
            <w:textDirection w:val="btLr"/>
          </w:tcPr>
          <w:p w14:paraId="3F80CEEB" w14:textId="0ACAE5D4" w:rsidR="00516D5E" w:rsidRDefault="00302C2B" w:rsidP="00516D5E">
            <w:pPr>
              <w:ind w:left="113" w:right="113"/>
              <w:rPr>
                <w:szCs w:val="24"/>
              </w:rPr>
            </w:pPr>
            <w:r>
              <w:rPr>
                <w:szCs w:val="24"/>
              </w:rPr>
              <w:t>Vérifier la calibration du MLC</w:t>
            </w:r>
          </w:p>
        </w:tc>
        <w:tc>
          <w:tcPr>
            <w:tcW w:w="677" w:type="dxa"/>
            <w:textDirection w:val="btLr"/>
          </w:tcPr>
          <w:p w14:paraId="4B8EE09E" w14:textId="051B2F7F" w:rsidR="00516D5E" w:rsidRDefault="00302C2B" w:rsidP="00516D5E">
            <w:pPr>
              <w:ind w:left="113" w:right="113"/>
              <w:rPr>
                <w:szCs w:val="24"/>
              </w:rPr>
            </w:pPr>
            <w:r>
              <w:rPr>
                <w:szCs w:val="24"/>
              </w:rPr>
              <w:t xml:space="preserve">Vérifier </w:t>
            </w:r>
            <w:proofErr w:type="spellStart"/>
            <w:r>
              <w:rPr>
                <w:szCs w:val="24"/>
              </w:rPr>
              <w:t>spoke</w:t>
            </w:r>
            <w:proofErr w:type="spellEnd"/>
            <w:r>
              <w:rPr>
                <w:szCs w:val="24"/>
              </w:rPr>
              <w:t xml:space="preserve"> </w:t>
            </w:r>
            <w:proofErr w:type="spellStart"/>
            <w:r>
              <w:rPr>
                <w:szCs w:val="24"/>
              </w:rPr>
              <w:t>shot</w:t>
            </w:r>
            <w:proofErr w:type="spellEnd"/>
            <w:r>
              <w:rPr>
                <w:szCs w:val="24"/>
              </w:rPr>
              <w:t xml:space="preserve"> du collimateur</w:t>
            </w:r>
          </w:p>
        </w:tc>
        <w:tc>
          <w:tcPr>
            <w:tcW w:w="677" w:type="dxa"/>
            <w:textDirection w:val="btLr"/>
          </w:tcPr>
          <w:p w14:paraId="434BDFAB" w14:textId="656C67C9" w:rsidR="00516D5E" w:rsidRDefault="00302C2B" w:rsidP="00516D5E">
            <w:pPr>
              <w:ind w:left="113" w:right="113"/>
              <w:rPr>
                <w:szCs w:val="24"/>
              </w:rPr>
            </w:pPr>
            <w:r>
              <w:rPr>
                <w:szCs w:val="24"/>
              </w:rPr>
              <w:t>Symétrie du profil (2 pts)</w:t>
            </w:r>
          </w:p>
        </w:tc>
        <w:tc>
          <w:tcPr>
            <w:tcW w:w="677" w:type="dxa"/>
            <w:textDirection w:val="btLr"/>
          </w:tcPr>
          <w:p w14:paraId="50D08DE5" w14:textId="6E8C5B11" w:rsidR="00516D5E" w:rsidRDefault="00302C2B" w:rsidP="00516D5E">
            <w:pPr>
              <w:ind w:left="113" w:right="113"/>
              <w:rPr>
                <w:szCs w:val="24"/>
              </w:rPr>
            </w:pPr>
            <w:r>
              <w:rPr>
                <w:szCs w:val="24"/>
              </w:rPr>
              <w:t>Vérifier la symétrie du profil (champ 10x10)</w:t>
            </w:r>
          </w:p>
        </w:tc>
        <w:tc>
          <w:tcPr>
            <w:tcW w:w="677" w:type="dxa"/>
            <w:textDirection w:val="btLr"/>
          </w:tcPr>
          <w:p w14:paraId="6BE05DCF" w14:textId="1659A8FE" w:rsidR="00516D5E" w:rsidRDefault="00302C2B" w:rsidP="00516D5E">
            <w:pPr>
              <w:ind w:left="113" w:right="113"/>
              <w:rPr>
                <w:szCs w:val="24"/>
              </w:rPr>
            </w:pPr>
            <w:r>
              <w:rPr>
                <w:szCs w:val="24"/>
              </w:rPr>
              <w:t>Winston-Lutz</w:t>
            </w:r>
          </w:p>
        </w:tc>
        <w:tc>
          <w:tcPr>
            <w:tcW w:w="678" w:type="dxa"/>
            <w:textDirection w:val="btLr"/>
          </w:tcPr>
          <w:p w14:paraId="197BC351" w14:textId="176AE72A" w:rsidR="00516D5E" w:rsidRDefault="00302C2B" w:rsidP="00516D5E">
            <w:pPr>
              <w:ind w:left="113" w:right="113"/>
              <w:rPr>
                <w:szCs w:val="24"/>
              </w:rPr>
            </w:pPr>
            <w:r>
              <w:rPr>
                <w:szCs w:val="24"/>
              </w:rPr>
              <w:t>TOP</w:t>
            </w:r>
          </w:p>
        </w:tc>
      </w:tr>
      <w:tr w:rsidR="00516D5E" w14:paraId="79112E48" w14:textId="77777777" w:rsidTr="00302C2B">
        <w:tc>
          <w:tcPr>
            <w:tcW w:w="2527" w:type="dxa"/>
          </w:tcPr>
          <w:p w14:paraId="00924ECD" w14:textId="4A3573B2" w:rsidR="00516D5E" w:rsidRDefault="00302C2B" w:rsidP="00921456">
            <w:pPr>
              <w:rPr>
                <w:szCs w:val="24"/>
              </w:rPr>
            </w:pPr>
            <w:r>
              <w:rPr>
                <w:szCs w:val="24"/>
              </w:rPr>
              <w:t xml:space="preserve">Remplacement du </w:t>
            </w:r>
            <w:proofErr w:type="spellStart"/>
            <w:r>
              <w:rPr>
                <w:szCs w:val="24"/>
              </w:rPr>
              <w:t>colli</w:t>
            </w:r>
            <w:proofErr w:type="spellEnd"/>
          </w:p>
        </w:tc>
        <w:tc>
          <w:tcPr>
            <w:tcW w:w="677" w:type="dxa"/>
          </w:tcPr>
          <w:p w14:paraId="07E5C77F" w14:textId="7FA451C5" w:rsidR="00516D5E" w:rsidRDefault="00302C2B" w:rsidP="00921456">
            <w:pPr>
              <w:rPr>
                <w:szCs w:val="24"/>
              </w:rPr>
            </w:pPr>
            <w:r>
              <w:rPr>
                <w:szCs w:val="24"/>
              </w:rPr>
              <w:t>*</w:t>
            </w:r>
          </w:p>
        </w:tc>
        <w:tc>
          <w:tcPr>
            <w:tcW w:w="677" w:type="dxa"/>
          </w:tcPr>
          <w:p w14:paraId="15230F62" w14:textId="5DE1F829" w:rsidR="00516D5E" w:rsidRDefault="00302C2B" w:rsidP="00921456">
            <w:pPr>
              <w:rPr>
                <w:szCs w:val="24"/>
              </w:rPr>
            </w:pPr>
            <w:r>
              <w:rPr>
                <w:szCs w:val="24"/>
              </w:rPr>
              <w:t>*</w:t>
            </w:r>
          </w:p>
        </w:tc>
        <w:tc>
          <w:tcPr>
            <w:tcW w:w="677" w:type="dxa"/>
          </w:tcPr>
          <w:p w14:paraId="7D11E313" w14:textId="77777777" w:rsidR="00516D5E" w:rsidRDefault="00516D5E" w:rsidP="00921456">
            <w:pPr>
              <w:rPr>
                <w:szCs w:val="24"/>
              </w:rPr>
            </w:pPr>
          </w:p>
        </w:tc>
        <w:tc>
          <w:tcPr>
            <w:tcW w:w="677" w:type="dxa"/>
          </w:tcPr>
          <w:p w14:paraId="32414880" w14:textId="40FA3801" w:rsidR="00516D5E" w:rsidRDefault="00302C2B" w:rsidP="00921456">
            <w:pPr>
              <w:rPr>
                <w:szCs w:val="24"/>
              </w:rPr>
            </w:pPr>
            <w:r>
              <w:rPr>
                <w:szCs w:val="24"/>
              </w:rPr>
              <w:t>*</w:t>
            </w:r>
          </w:p>
        </w:tc>
        <w:tc>
          <w:tcPr>
            <w:tcW w:w="677" w:type="dxa"/>
          </w:tcPr>
          <w:p w14:paraId="0D872AA6" w14:textId="5A43428C" w:rsidR="00516D5E" w:rsidRDefault="00302C2B" w:rsidP="00921456">
            <w:pPr>
              <w:rPr>
                <w:szCs w:val="24"/>
              </w:rPr>
            </w:pPr>
            <w:r>
              <w:rPr>
                <w:szCs w:val="24"/>
              </w:rPr>
              <w:t>*</w:t>
            </w:r>
          </w:p>
        </w:tc>
        <w:tc>
          <w:tcPr>
            <w:tcW w:w="677" w:type="dxa"/>
          </w:tcPr>
          <w:p w14:paraId="157BD51C" w14:textId="615CD9F0" w:rsidR="00516D5E" w:rsidRDefault="00302C2B" w:rsidP="00921456">
            <w:pPr>
              <w:rPr>
                <w:szCs w:val="24"/>
              </w:rPr>
            </w:pPr>
            <w:r>
              <w:rPr>
                <w:szCs w:val="24"/>
              </w:rPr>
              <w:t>*</w:t>
            </w:r>
          </w:p>
        </w:tc>
        <w:tc>
          <w:tcPr>
            <w:tcW w:w="677" w:type="dxa"/>
          </w:tcPr>
          <w:p w14:paraId="4AAB4C7E" w14:textId="4221A74D" w:rsidR="00516D5E" w:rsidRDefault="00302C2B" w:rsidP="00921456">
            <w:pPr>
              <w:rPr>
                <w:szCs w:val="24"/>
              </w:rPr>
            </w:pPr>
            <w:r>
              <w:rPr>
                <w:szCs w:val="24"/>
              </w:rPr>
              <w:t>*</w:t>
            </w:r>
          </w:p>
        </w:tc>
        <w:tc>
          <w:tcPr>
            <w:tcW w:w="677" w:type="dxa"/>
          </w:tcPr>
          <w:p w14:paraId="28A255E4" w14:textId="201C0A05" w:rsidR="00516D5E" w:rsidRDefault="00302C2B" w:rsidP="00921456">
            <w:pPr>
              <w:rPr>
                <w:szCs w:val="24"/>
              </w:rPr>
            </w:pPr>
            <w:r>
              <w:rPr>
                <w:szCs w:val="24"/>
              </w:rPr>
              <w:t>*</w:t>
            </w:r>
          </w:p>
        </w:tc>
        <w:tc>
          <w:tcPr>
            <w:tcW w:w="677" w:type="dxa"/>
          </w:tcPr>
          <w:p w14:paraId="76C5D6AE" w14:textId="77777777" w:rsidR="00516D5E" w:rsidRDefault="00516D5E" w:rsidP="00921456">
            <w:pPr>
              <w:rPr>
                <w:szCs w:val="24"/>
              </w:rPr>
            </w:pPr>
          </w:p>
        </w:tc>
        <w:tc>
          <w:tcPr>
            <w:tcW w:w="677" w:type="dxa"/>
          </w:tcPr>
          <w:p w14:paraId="1EC9BCA9" w14:textId="6EB91B82" w:rsidR="00516D5E" w:rsidRDefault="00302C2B" w:rsidP="00921456">
            <w:pPr>
              <w:rPr>
                <w:szCs w:val="24"/>
              </w:rPr>
            </w:pPr>
            <w:r>
              <w:rPr>
                <w:szCs w:val="24"/>
              </w:rPr>
              <w:t>*</w:t>
            </w:r>
          </w:p>
        </w:tc>
        <w:tc>
          <w:tcPr>
            <w:tcW w:w="677" w:type="dxa"/>
          </w:tcPr>
          <w:p w14:paraId="3C576527" w14:textId="4E61452F" w:rsidR="00516D5E" w:rsidRDefault="00302C2B" w:rsidP="00921456">
            <w:pPr>
              <w:rPr>
                <w:szCs w:val="24"/>
              </w:rPr>
            </w:pPr>
            <w:r>
              <w:rPr>
                <w:szCs w:val="24"/>
              </w:rPr>
              <w:t>*</w:t>
            </w:r>
          </w:p>
        </w:tc>
        <w:tc>
          <w:tcPr>
            <w:tcW w:w="678" w:type="dxa"/>
          </w:tcPr>
          <w:p w14:paraId="7FD06720" w14:textId="04A7F8C4" w:rsidR="00516D5E" w:rsidRDefault="00302C2B" w:rsidP="00921456">
            <w:pPr>
              <w:rPr>
                <w:szCs w:val="24"/>
              </w:rPr>
            </w:pPr>
            <w:r>
              <w:rPr>
                <w:szCs w:val="24"/>
              </w:rPr>
              <w:t>*</w:t>
            </w:r>
          </w:p>
        </w:tc>
      </w:tr>
      <w:tr w:rsidR="00516D5E" w14:paraId="38FB1D41" w14:textId="77777777" w:rsidTr="00302C2B">
        <w:tc>
          <w:tcPr>
            <w:tcW w:w="2527" w:type="dxa"/>
          </w:tcPr>
          <w:p w14:paraId="23298382" w14:textId="252A8E1E" w:rsidR="00516D5E" w:rsidRDefault="00302C2B" w:rsidP="00921456">
            <w:pPr>
              <w:rPr>
                <w:szCs w:val="24"/>
              </w:rPr>
            </w:pPr>
            <w:r>
              <w:rPr>
                <w:szCs w:val="24"/>
              </w:rPr>
              <w:t xml:space="preserve">Réinstallation du moteur </w:t>
            </w:r>
            <w:proofErr w:type="spellStart"/>
            <w:r>
              <w:rPr>
                <w:szCs w:val="24"/>
              </w:rPr>
              <w:t>colli</w:t>
            </w:r>
            <w:proofErr w:type="spellEnd"/>
          </w:p>
        </w:tc>
        <w:tc>
          <w:tcPr>
            <w:tcW w:w="677" w:type="dxa"/>
          </w:tcPr>
          <w:p w14:paraId="0AA6D5BE" w14:textId="77777777" w:rsidR="00516D5E" w:rsidRDefault="00516D5E" w:rsidP="00921456">
            <w:pPr>
              <w:rPr>
                <w:szCs w:val="24"/>
              </w:rPr>
            </w:pPr>
          </w:p>
        </w:tc>
        <w:tc>
          <w:tcPr>
            <w:tcW w:w="677" w:type="dxa"/>
          </w:tcPr>
          <w:p w14:paraId="3D628063" w14:textId="77777777" w:rsidR="00516D5E" w:rsidRDefault="00516D5E" w:rsidP="00921456">
            <w:pPr>
              <w:rPr>
                <w:szCs w:val="24"/>
              </w:rPr>
            </w:pPr>
          </w:p>
        </w:tc>
        <w:tc>
          <w:tcPr>
            <w:tcW w:w="677" w:type="dxa"/>
          </w:tcPr>
          <w:p w14:paraId="06E42FCF" w14:textId="77777777" w:rsidR="00516D5E" w:rsidRDefault="00516D5E" w:rsidP="00921456">
            <w:pPr>
              <w:rPr>
                <w:szCs w:val="24"/>
              </w:rPr>
            </w:pPr>
          </w:p>
        </w:tc>
        <w:tc>
          <w:tcPr>
            <w:tcW w:w="677" w:type="dxa"/>
          </w:tcPr>
          <w:p w14:paraId="7B0AC381" w14:textId="77777777" w:rsidR="00516D5E" w:rsidRDefault="00516D5E" w:rsidP="00921456">
            <w:pPr>
              <w:rPr>
                <w:szCs w:val="24"/>
              </w:rPr>
            </w:pPr>
          </w:p>
        </w:tc>
        <w:tc>
          <w:tcPr>
            <w:tcW w:w="677" w:type="dxa"/>
          </w:tcPr>
          <w:p w14:paraId="66FB2B9D" w14:textId="77777777" w:rsidR="00516D5E" w:rsidRDefault="00516D5E" w:rsidP="00921456">
            <w:pPr>
              <w:rPr>
                <w:szCs w:val="24"/>
              </w:rPr>
            </w:pPr>
          </w:p>
        </w:tc>
        <w:tc>
          <w:tcPr>
            <w:tcW w:w="677" w:type="dxa"/>
          </w:tcPr>
          <w:p w14:paraId="4CC51AB3" w14:textId="6C9AED16" w:rsidR="00516D5E" w:rsidRDefault="00302C2B" w:rsidP="00921456">
            <w:pPr>
              <w:rPr>
                <w:szCs w:val="24"/>
              </w:rPr>
            </w:pPr>
            <w:r>
              <w:rPr>
                <w:szCs w:val="24"/>
              </w:rPr>
              <w:t>*</w:t>
            </w:r>
          </w:p>
        </w:tc>
        <w:tc>
          <w:tcPr>
            <w:tcW w:w="677" w:type="dxa"/>
          </w:tcPr>
          <w:p w14:paraId="409E17C0" w14:textId="77777777" w:rsidR="00516D5E" w:rsidRDefault="00516D5E" w:rsidP="00921456">
            <w:pPr>
              <w:rPr>
                <w:szCs w:val="24"/>
              </w:rPr>
            </w:pPr>
          </w:p>
        </w:tc>
        <w:tc>
          <w:tcPr>
            <w:tcW w:w="677" w:type="dxa"/>
          </w:tcPr>
          <w:p w14:paraId="0C01E89C" w14:textId="77777777" w:rsidR="00516D5E" w:rsidRDefault="00516D5E" w:rsidP="00921456">
            <w:pPr>
              <w:rPr>
                <w:szCs w:val="24"/>
              </w:rPr>
            </w:pPr>
          </w:p>
        </w:tc>
        <w:tc>
          <w:tcPr>
            <w:tcW w:w="677" w:type="dxa"/>
          </w:tcPr>
          <w:p w14:paraId="40456391" w14:textId="77777777" w:rsidR="00516D5E" w:rsidRDefault="00516D5E" w:rsidP="00921456">
            <w:pPr>
              <w:rPr>
                <w:szCs w:val="24"/>
              </w:rPr>
            </w:pPr>
          </w:p>
        </w:tc>
        <w:tc>
          <w:tcPr>
            <w:tcW w:w="677" w:type="dxa"/>
          </w:tcPr>
          <w:p w14:paraId="410982AC" w14:textId="77777777" w:rsidR="00516D5E" w:rsidRDefault="00516D5E" w:rsidP="00921456">
            <w:pPr>
              <w:rPr>
                <w:szCs w:val="24"/>
              </w:rPr>
            </w:pPr>
          </w:p>
        </w:tc>
        <w:tc>
          <w:tcPr>
            <w:tcW w:w="677" w:type="dxa"/>
          </w:tcPr>
          <w:p w14:paraId="24E6E7E3" w14:textId="0E865D2E" w:rsidR="00516D5E" w:rsidRDefault="00302C2B" w:rsidP="00921456">
            <w:pPr>
              <w:rPr>
                <w:szCs w:val="24"/>
              </w:rPr>
            </w:pPr>
            <w:r>
              <w:rPr>
                <w:szCs w:val="24"/>
              </w:rPr>
              <w:t>*</w:t>
            </w:r>
          </w:p>
        </w:tc>
        <w:tc>
          <w:tcPr>
            <w:tcW w:w="678" w:type="dxa"/>
          </w:tcPr>
          <w:p w14:paraId="495ABC6A" w14:textId="53B16EAC" w:rsidR="00516D5E" w:rsidRDefault="00302C2B" w:rsidP="00921456">
            <w:pPr>
              <w:rPr>
                <w:szCs w:val="24"/>
              </w:rPr>
            </w:pPr>
            <w:r>
              <w:rPr>
                <w:szCs w:val="24"/>
              </w:rPr>
              <w:t>*</w:t>
            </w:r>
          </w:p>
        </w:tc>
      </w:tr>
      <w:tr w:rsidR="00516D5E" w14:paraId="629C776E" w14:textId="77777777" w:rsidTr="00302C2B">
        <w:tc>
          <w:tcPr>
            <w:tcW w:w="2527" w:type="dxa"/>
          </w:tcPr>
          <w:p w14:paraId="149E0BED" w14:textId="4BA31305" w:rsidR="00516D5E" w:rsidRDefault="00302C2B" w:rsidP="00921456">
            <w:pPr>
              <w:rPr>
                <w:szCs w:val="24"/>
              </w:rPr>
            </w:pPr>
            <w:r>
              <w:rPr>
                <w:szCs w:val="24"/>
              </w:rPr>
              <w:t>Remplacement ou réalignement du croisillon</w:t>
            </w:r>
          </w:p>
        </w:tc>
        <w:tc>
          <w:tcPr>
            <w:tcW w:w="677" w:type="dxa"/>
          </w:tcPr>
          <w:p w14:paraId="0E3C3740" w14:textId="4A1D8A52" w:rsidR="00516D5E" w:rsidRDefault="00302C2B" w:rsidP="00921456">
            <w:pPr>
              <w:rPr>
                <w:szCs w:val="24"/>
              </w:rPr>
            </w:pPr>
            <w:r>
              <w:rPr>
                <w:szCs w:val="24"/>
              </w:rPr>
              <w:t>*</w:t>
            </w:r>
          </w:p>
        </w:tc>
        <w:tc>
          <w:tcPr>
            <w:tcW w:w="677" w:type="dxa"/>
          </w:tcPr>
          <w:p w14:paraId="372055E9" w14:textId="6A504E05" w:rsidR="00516D5E" w:rsidRDefault="00302C2B" w:rsidP="00921456">
            <w:pPr>
              <w:rPr>
                <w:szCs w:val="24"/>
              </w:rPr>
            </w:pPr>
            <w:r>
              <w:rPr>
                <w:szCs w:val="24"/>
              </w:rPr>
              <w:t>*</w:t>
            </w:r>
          </w:p>
        </w:tc>
        <w:tc>
          <w:tcPr>
            <w:tcW w:w="677" w:type="dxa"/>
          </w:tcPr>
          <w:p w14:paraId="6E8CA64E" w14:textId="77777777" w:rsidR="00516D5E" w:rsidRDefault="00516D5E" w:rsidP="00921456">
            <w:pPr>
              <w:rPr>
                <w:szCs w:val="24"/>
              </w:rPr>
            </w:pPr>
          </w:p>
        </w:tc>
        <w:tc>
          <w:tcPr>
            <w:tcW w:w="677" w:type="dxa"/>
          </w:tcPr>
          <w:p w14:paraId="24D4F64C" w14:textId="25CDF4AD" w:rsidR="00516D5E" w:rsidRDefault="00302C2B" w:rsidP="00921456">
            <w:pPr>
              <w:rPr>
                <w:szCs w:val="24"/>
              </w:rPr>
            </w:pPr>
            <w:r>
              <w:rPr>
                <w:szCs w:val="24"/>
              </w:rPr>
              <w:t>*</w:t>
            </w:r>
          </w:p>
        </w:tc>
        <w:tc>
          <w:tcPr>
            <w:tcW w:w="677" w:type="dxa"/>
          </w:tcPr>
          <w:p w14:paraId="18F9941C" w14:textId="69306909" w:rsidR="00516D5E" w:rsidRDefault="00302C2B" w:rsidP="00921456">
            <w:pPr>
              <w:rPr>
                <w:szCs w:val="24"/>
              </w:rPr>
            </w:pPr>
            <w:r>
              <w:rPr>
                <w:szCs w:val="24"/>
              </w:rPr>
              <w:t>*</w:t>
            </w:r>
          </w:p>
        </w:tc>
        <w:tc>
          <w:tcPr>
            <w:tcW w:w="677" w:type="dxa"/>
          </w:tcPr>
          <w:p w14:paraId="39B3A920" w14:textId="77777777" w:rsidR="00516D5E" w:rsidRDefault="00516D5E" w:rsidP="00921456">
            <w:pPr>
              <w:rPr>
                <w:szCs w:val="24"/>
              </w:rPr>
            </w:pPr>
          </w:p>
        </w:tc>
        <w:tc>
          <w:tcPr>
            <w:tcW w:w="677" w:type="dxa"/>
          </w:tcPr>
          <w:p w14:paraId="3C6BF7E2" w14:textId="77777777" w:rsidR="00516D5E" w:rsidRDefault="00516D5E" w:rsidP="00921456">
            <w:pPr>
              <w:rPr>
                <w:szCs w:val="24"/>
              </w:rPr>
            </w:pPr>
          </w:p>
        </w:tc>
        <w:tc>
          <w:tcPr>
            <w:tcW w:w="677" w:type="dxa"/>
          </w:tcPr>
          <w:p w14:paraId="151168FA" w14:textId="77777777" w:rsidR="00516D5E" w:rsidRDefault="00516D5E" w:rsidP="00921456">
            <w:pPr>
              <w:rPr>
                <w:szCs w:val="24"/>
              </w:rPr>
            </w:pPr>
          </w:p>
        </w:tc>
        <w:tc>
          <w:tcPr>
            <w:tcW w:w="677" w:type="dxa"/>
          </w:tcPr>
          <w:p w14:paraId="57F50A6C" w14:textId="77777777" w:rsidR="00516D5E" w:rsidRDefault="00516D5E" w:rsidP="00921456">
            <w:pPr>
              <w:rPr>
                <w:szCs w:val="24"/>
              </w:rPr>
            </w:pPr>
          </w:p>
        </w:tc>
        <w:tc>
          <w:tcPr>
            <w:tcW w:w="677" w:type="dxa"/>
          </w:tcPr>
          <w:p w14:paraId="6E9DB5A3" w14:textId="77777777" w:rsidR="00516D5E" w:rsidRDefault="00516D5E" w:rsidP="00921456">
            <w:pPr>
              <w:rPr>
                <w:szCs w:val="24"/>
              </w:rPr>
            </w:pPr>
          </w:p>
        </w:tc>
        <w:tc>
          <w:tcPr>
            <w:tcW w:w="677" w:type="dxa"/>
          </w:tcPr>
          <w:p w14:paraId="334E1757" w14:textId="77777777" w:rsidR="00516D5E" w:rsidRDefault="00516D5E" w:rsidP="00921456">
            <w:pPr>
              <w:rPr>
                <w:szCs w:val="24"/>
              </w:rPr>
            </w:pPr>
          </w:p>
        </w:tc>
        <w:tc>
          <w:tcPr>
            <w:tcW w:w="678" w:type="dxa"/>
          </w:tcPr>
          <w:p w14:paraId="55E23873" w14:textId="77777777" w:rsidR="00516D5E" w:rsidRDefault="00516D5E" w:rsidP="00921456">
            <w:pPr>
              <w:rPr>
                <w:szCs w:val="24"/>
              </w:rPr>
            </w:pPr>
          </w:p>
        </w:tc>
      </w:tr>
      <w:tr w:rsidR="00516D5E" w14:paraId="728E2208" w14:textId="77777777" w:rsidTr="00302C2B">
        <w:tc>
          <w:tcPr>
            <w:tcW w:w="2527" w:type="dxa"/>
          </w:tcPr>
          <w:p w14:paraId="279EA721" w14:textId="11409755" w:rsidR="00516D5E" w:rsidRDefault="00302C2B" w:rsidP="00921456">
            <w:pPr>
              <w:rPr>
                <w:szCs w:val="24"/>
              </w:rPr>
            </w:pPr>
            <w:r>
              <w:rPr>
                <w:szCs w:val="24"/>
              </w:rPr>
              <w:t>Remplacement du miroir</w:t>
            </w:r>
          </w:p>
        </w:tc>
        <w:tc>
          <w:tcPr>
            <w:tcW w:w="677" w:type="dxa"/>
          </w:tcPr>
          <w:p w14:paraId="0C7E739C" w14:textId="75FA5265" w:rsidR="00516D5E" w:rsidRDefault="00302C2B" w:rsidP="00921456">
            <w:pPr>
              <w:rPr>
                <w:szCs w:val="24"/>
              </w:rPr>
            </w:pPr>
            <w:r>
              <w:rPr>
                <w:szCs w:val="24"/>
              </w:rPr>
              <w:t>*</w:t>
            </w:r>
          </w:p>
        </w:tc>
        <w:tc>
          <w:tcPr>
            <w:tcW w:w="677" w:type="dxa"/>
          </w:tcPr>
          <w:p w14:paraId="6A25DA3F" w14:textId="1F37E793" w:rsidR="00516D5E" w:rsidRDefault="00302C2B" w:rsidP="00921456">
            <w:pPr>
              <w:rPr>
                <w:szCs w:val="24"/>
              </w:rPr>
            </w:pPr>
            <w:r>
              <w:rPr>
                <w:szCs w:val="24"/>
              </w:rPr>
              <w:t>*</w:t>
            </w:r>
          </w:p>
        </w:tc>
        <w:tc>
          <w:tcPr>
            <w:tcW w:w="677" w:type="dxa"/>
          </w:tcPr>
          <w:p w14:paraId="49329407" w14:textId="77777777" w:rsidR="00516D5E" w:rsidRDefault="00516D5E" w:rsidP="00921456">
            <w:pPr>
              <w:rPr>
                <w:szCs w:val="24"/>
              </w:rPr>
            </w:pPr>
          </w:p>
        </w:tc>
        <w:tc>
          <w:tcPr>
            <w:tcW w:w="677" w:type="dxa"/>
          </w:tcPr>
          <w:p w14:paraId="3465B506" w14:textId="3EBBC80C" w:rsidR="00516D5E" w:rsidRDefault="00302C2B" w:rsidP="00921456">
            <w:pPr>
              <w:rPr>
                <w:szCs w:val="24"/>
              </w:rPr>
            </w:pPr>
            <w:r>
              <w:rPr>
                <w:szCs w:val="24"/>
              </w:rPr>
              <w:t>*</w:t>
            </w:r>
          </w:p>
        </w:tc>
        <w:tc>
          <w:tcPr>
            <w:tcW w:w="677" w:type="dxa"/>
          </w:tcPr>
          <w:p w14:paraId="3CDE70E9" w14:textId="44F63F70" w:rsidR="00516D5E" w:rsidRDefault="00302C2B" w:rsidP="00921456">
            <w:pPr>
              <w:rPr>
                <w:szCs w:val="24"/>
              </w:rPr>
            </w:pPr>
            <w:r>
              <w:rPr>
                <w:szCs w:val="24"/>
              </w:rPr>
              <w:t>*</w:t>
            </w:r>
          </w:p>
        </w:tc>
        <w:tc>
          <w:tcPr>
            <w:tcW w:w="677" w:type="dxa"/>
          </w:tcPr>
          <w:p w14:paraId="3C9E6A4B" w14:textId="77777777" w:rsidR="00516D5E" w:rsidRDefault="00516D5E" w:rsidP="00921456">
            <w:pPr>
              <w:rPr>
                <w:szCs w:val="24"/>
              </w:rPr>
            </w:pPr>
          </w:p>
        </w:tc>
        <w:tc>
          <w:tcPr>
            <w:tcW w:w="677" w:type="dxa"/>
          </w:tcPr>
          <w:p w14:paraId="24609C4F" w14:textId="77777777" w:rsidR="00516D5E" w:rsidRDefault="00516D5E" w:rsidP="00921456">
            <w:pPr>
              <w:rPr>
                <w:szCs w:val="24"/>
              </w:rPr>
            </w:pPr>
          </w:p>
        </w:tc>
        <w:tc>
          <w:tcPr>
            <w:tcW w:w="677" w:type="dxa"/>
          </w:tcPr>
          <w:p w14:paraId="29594D1B" w14:textId="77777777" w:rsidR="00516D5E" w:rsidRDefault="00516D5E" w:rsidP="00921456">
            <w:pPr>
              <w:rPr>
                <w:szCs w:val="24"/>
              </w:rPr>
            </w:pPr>
          </w:p>
        </w:tc>
        <w:tc>
          <w:tcPr>
            <w:tcW w:w="677" w:type="dxa"/>
          </w:tcPr>
          <w:p w14:paraId="61EFC672" w14:textId="77777777" w:rsidR="00516D5E" w:rsidRDefault="00516D5E" w:rsidP="00921456">
            <w:pPr>
              <w:rPr>
                <w:szCs w:val="24"/>
              </w:rPr>
            </w:pPr>
          </w:p>
        </w:tc>
        <w:tc>
          <w:tcPr>
            <w:tcW w:w="677" w:type="dxa"/>
          </w:tcPr>
          <w:p w14:paraId="469CE1C0" w14:textId="77777777" w:rsidR="00516D5E" w:rsidRDefault="00516D5E" w:rsidP="00921456">
            <w:pPr>
              <w:rPr>
                <w:szCs w:val="24"/>
              </w:rPr>
            </w:pPr>
          </w:p>
        </w:tc>
        <w:tc>
          <w:tcPr>
            <w:tcW w:w="677" w:type="dxa"/>
          </w:tcPr>
          <w:p w14:paraId="0B8D5087" w14:textId="77777777" w:rsidR="00516D5E" w:rsidRDefault="00516D5E" w:rsidP="00921456">
            <w:pPr>
              <w:rPr>
                <w:szCs w:val="24"/>
              </w:rPr>
            </w:pPr>
          </w:p>
        </w:tc>
        <w:tc>
          <w:tcPr>
            <w:tcW w:w="678" w:type="dxa"/>
          </w:tcPr>
          <w:p w14:paraId="47571359" w14:textId="77777777" w:rsidR="00516D5E" w:rsidRDefault="00516D5E" w:rsidP="00921456">
            <w:pPr>
              <w:rPr>
                <w:szCs w:val="24"/>
              </w:rPr>
            </w:pPr>
          </w:p>
        </w:tc>
      </w:tr>
      <w:tr w:rsidR="00516D5E" w14:paraId="50178FB9" w14:textId="77777777" w:rsidTr="00302C2B">
        <w:tc>
          <w:tcPr>
            <w:tcW w:w="2527" w:type="dxa"/>
          </w:tcPr>
          <w:p w14:paraId="51BC91E7" w14:textId="0C28371D" w:rsidR="00516D5E" w:rsidRDefault="006314FA" w:rsidP="00921456">
            <w:pPr>
              <w:rPr>
                <w:szCs w:val="24"/>
              </w:rPr>
            </w:pPr>
            <w:r>
              <w:rPr>
                <w:szCs w:val="24"/>
              </w:rPr>
              <w:t>Remplacement du champ</w:t>
            </w:r>
          </w:p>
        </w:tc>
        <w:tc>
          <w:tcPr>
            <w:tcW w:w="677" w:type="dxa"/>
          </w:tcPr>
          <w:p w14:paraId="4A3634A4" w14:textId="7DD71BFD" w:rsidR="00516D5E" w:rsidRDefault="006314FA" w:rsidP="00921456">
            <w:pPr>
              <w:rPr>
                <w:szCs w:val="24"/>
              </w:rPr>
            </w:pPr>
            <w:r>
              <w:rPr>
                <w:szCs w:val="24"/>
              </w:rPr>
              <w:t>*</w:t>
            </w:r>
          </w:p>
        </w:tc>
        <w:tc>
          <w:tcPr>
            <w:tcW w:w="677" w:type="dxa"/>
          </w:tcPr>
          <w:p w14:paraId="1C8E5CBC" w14:textId="4059AB8D" w:rsidR="00516D5E" w:rsidRDefault="006314FA" w:rsidP="00921456">
            <w:pPr>
              <w:rPr>
                <w:szCs w:val="24"/>
              </w:rPr>
            </w:pPr>
            <w:r>
              <w:rPr>
                <w:szCs w:val="24"/>
              </w:rPr>
              <w:t>*</w:t>
            </w:r>
          </w:p>
        </w:tc>
        <w:tc>
          <w:tcPr>
            <w:tcW w:w="677" w:type="dxa"/>
          </w:tcPr>
          <w:p w14:paraId="1C885404" w14:textId="77777777" w:rsidR="00516D5E" w:rsidRDefault="00516D5E" w:rsidP="00921456">
            <w:pPr>
              <w:rPr>
                <w:szCs w:val="24"/>
              </w:rPr>
            </w:pPr>
          </w:p>
        </w:tc>
        <w:tc>
          <w:tcPr>
            <w:tcW w:w="677" w:type="dxa"/>
          </w:tcPr>
          <w:p w14:paraId="350BEE60" w14:textId="77777777" w:rsidR="00516D5E" w:rsidRDefault="00516D5E" w:rsidP="00921456">
            <w:pPr>
              <w:rPr>
                <w:szCs w:val="24"/>
              </w:rPr>
            </w:pPr>
          </w:p>
        </w:tc>
        <w:tc>
          <w:tcPr>
            <w:tcW w:w="677" w:type="dxa"/>
          </w:tcPr>
          <w:p w14:paraId="25C4B94F" w14:textId="77777777" w:rsidR="00516D5E" w:rsidRDefault="00516D5E" w:rsidP="00921456">
            <w:pPr>
              <w:rPr>
                <w:szCs w:val="24"/>
              </w:rPr>
            </w:pPr>
          </w:p>
        </w:tc>
        <w:tc>
          <w:tcPr>
            <w:tcW w:w="677" w:type="dxa"/>
          </w:tcPr>
          <w:p w14:paraId="0705DCC7" w14:textId="77777777" w:rsidR="00516D5E" w:rsidRDefault="00516D5E" w:rsidP="00921456">
            <w:pPr>
              <w:rPr>
                <w:szCs w:val="24"/>
              </w:rPr>
            </w:pPr>
          </w:p>
        </w:tc>
        <w:tc>
          <w:tcPr>
            <w:tcW w:w="677" w:type="dxa"/>
          </w:tcPr>
          <w:p w14:paraId="06F35FF1" w14:textId="77777777" w:rsidR="00516D5E" w:rsidRDefault="00516D5E" w:rsidP="00921456">
            <w:pPr>
              <w:rPr>
                <w:szCs w:val="24"/>
              </w:rPr>
            </w:pPr>
          </w:p>
        </w:tc>
        <w:tc>
          <w:tcPr>
            <w:tcW w:w="677" w:type="dxa"/>
          </w:tcPr>
          <w:p w14:paraId="41B44305" w14:textId="77777777" w:rsidR="00516D5E" w:rsidRDefault="00516D5E" w:rsidP="00921456">
            <w:pPr>
              <w:rPr>
                <w:szCs w:val="24"/>
              </w:rPr>
            </w:pPr>
          </w:p>
        </w:tc>
        <w:tc>
          <w:tcPr>
            <w:tcW w:w="677" w:type="dxa"/>
          </w:tcPr>
          <w:p w14:paraId="3B7BDF93" w14:textId="77777777" w:rsidR="00516D5E" w:rsidRDefault="00516D5E" w:rsidP="00921456">
            <w:pPr>
              <w:rPr>
                <w:szCs w:val="24"/>
              </w:rPr>
            </w:pPr>
          </w:p>
        </w:tc>
        <w:tc>
          <w:tcPr>
            <w:tcW w:w="677" w:type="dxa"/>
          </w:tcPr>
          <w:p w14:paraId="1A3CCC31" w14:textId="77777777" w:rsidR="00516D5E" w:rsidRDefault="00516D5E" w:rsidP="00921456">
            <w:pPr>
              <w:rPr>
                <w:szCs w:val="24"/>
              </w:rPr>
            </w:pPr>
          </w:p>
        </w:tc>
        <w:tc>
          <w:tcPr>
            <w:tcW w:w="677" w:type="dxa"/>
          </w:tcPr>
          <w:p w14:paraId="297239B6" w14:textId="77777777" w:rsidR="00516D5E" w:rsidRDefault="00516D5E" w:rsidP="00921456">
            <w:pPr>
              <w:rPr>
                <w:szCs w:val="24"/>
              </w:rPr>
            </w:pPr>
          </w:p>
        </w:tc>
        <w:tc>
          <w:tcPr>
            <w:tcW w:w="678" w:type="dxa"/>
          </w:tcPr>
          <w:p w14:paraId="1E1CC0A7" w14:textId="77777777" w:rsidR="00516D5E" w:rsidRDefault="00516D5E" w:rsidP="00921456">
            <w:pPr>
              <w:rPr>
                <w:szCs w:val="24"/>
              </w:rPr>
            </w:pPr>
          </w:p>
        </w:tc>
      </w:tr>
      <w:tr w:rsidR="00516D5E" w14:paraId="73010ED5" w14:textId="77777777" w:rsidTr="00302C2B">
        <w:tc>
          <w:tcPr>
            <w:tcW w:w="2527" w:type="dxa"/>
          </w:tcPr>
          <w:p w14:paraId="32F189DE" w14:textId="407F94D4" w:rsidR="00516D5E" w:rsidRDefault="006314FA" w:rsidP="00921456">
            <w:pPr>
              <w:rPr>
                <w:szCs w:val="24"/>
              </w:rPr>
            </w:pPr>
            <w:r>
              <w:rPr>
                <w:szCs w:val="24"/>
              </w:rPr>
              <w:t>Réalignement du champ</w:t>
            </w:r>
          </w:p>
        </w:tc>
        <w:tc>
          <w:tcPr>
            <w:tcW w:w="677" w:type="dxa"/>
          </w:tcPr>
          <w:p w14:paraId="7742E56F" w14:textId="797D66F9" w:rsidR="00516D5E" w:rsidRDefault="006314FA" w:rsidP="00921456">
            <w:pPr>
              <w:rPr>
                <w:szCs w:val="24"/>
              </w:rPr>
            </w:pPr>
            <w:r>
              <w:rPr>
                <w:szCs w:val="24"/>
              </w:rPr>
              <w:t>*</w:t>
            </w:r>
          </w:p>
        </w:tc>
        <w:tc>
          <w:tcPr>
            <w:tcW w:w="677" w:type="dxa"/>
          </w:tcPr>
          <w:p w14:paraId="5C68C0B8" w14:textId="5AE4561E" w:rsidR="00516D5E" w:rsidRDefault="006314FA" w:rsidP="00921456">
            <w:pPr>
              <w:rPr>
                <w:szCs w:val="24"/>
              </w:rPr>
            </w:pPr>
            <w:r>
              <w:rPr>
                <w:szCs w:val="24"/>
              </w:rPr>
              <w:t>*</w:t>
            </w:r>
          </w:p>
        </w:tc>
        <w:tc>
          <w:tcPr>
            <w:tcW w:w="677" w:type="dxa"/>
          </w:tcPr>
          <w:p w14:paraId="39B6342D" w14:textId="77777777" w:rsidR="00516D5E" w:rsidRDefault="00516D5E" w:rsidP="00921456">
            <w:pPr>
              <w:rPr>
                <w:szCs w:val="24"/>
              </w:rPr>
            </w:pPr>
          </w:p>
        </w:tc>
        <w:tc>
          <w:tcPr>
            <w:tcW w:w="677" w:type="dxa"/>
          </w:tcPr>
          <w:p w14:paraId="1DFC7A51" w14:textId="6E2CCFAC" w:rsidR="00516D5E" w:rsidRDefault="006314FA" w:rsidP="00921456">
            <w:pPr>
              <w:rPr>
                <w:szCs w:val="24"/>
              </w:rPr>
            </w:pPr>
            <w:r>
              <w:rPr>
                <w:szCs w:val="24"/>
              </w:rPr>
              <w:t>*</w:t>
            </w:r>
          </w:p>
        </w:tc>
        <w:tc>
          <w:tcPr>
            <w:tcW w:w="677" w:type="dxa"/>
          </w:tcPr>
          <w:p w14:paraId="79ED3257" w14:textId="4827FDCF" w:rsidR="00516D5E" w:rsidRDefault="006314FA" w:rsidP="00921456">
            <w:pPr>
              <w:rPr>
                <w:szCs w:val="24"/>
              </w:rPr>
            </w:pPr>
            <w:r>
              <w:rPr>
                <w:szCs w:val="24"/>
              </w:rPr>
              <w:t>*</w:t>
            </w:r>
          </w:p>
        </w:tc>
        <w:tc>
          <w:tcPr>
            <w:tcW w:w="677" w:type="dxa"/>
          </w:tcPr>
          <w:p w14:paraId="1BB1274C" w14:textId="4140BFA6" w:rsidR="00516D5E" w:rsidRDefault="006314FA" w:rsidP="00921456">
            <w:pPr>
              <w:rPr>
                <w:szCs w:val="24"/>
              </w:rPr>
            </w:pPr>
            <w:r>
              <w:rPr>
                <w:szCs w:val="24"/>
              </w:rPr>
              <w:t>*</w:t>
            </w:r>
          </w:p>
        </w:tc>
        <w:tc>
          <w:tcPr>
            <w:tcW w:w="677" w:type="dxa"/>
          </w:tcPr>
          <w:p w14:paraId="763D5377" w14:textId="77777777" w:rsidR="00516D5E" w:rsidRDefault="00516D5E" w:rsidP="00921456">
            <w:pPr>
              <w:rPr>
                <w:szCs w:val="24"/>
              </w:rPr>
            </w:pPr>
          </w:p>
        </w:tc>
        <w:tc>
          <w:tcPr>
            <w:tcW w:w="677" w:type="dxa"/>
          </w:tcPr>
          <w:p w14:paraId="29B7F9AA" w14:textId="77777777" w:rsidR="00516D5E" w:rsidRDefault="00516D5E" w:rsidP="00921456">
            <w:pPr>
              <w:rPr>
                <w:szCs w:val="24"/>
              </w:rPr>
            </w:pPr>
          </w:p>
        </w:tc>
        <w:tc>
          <w:tcPr>
            <w:tcW w:w="677" w:type="dxa"/>
          </w:tcPr>
          <w:p w14:paraId="11F1A4EF" w14:textId="77777777" w:rsidR="00516D5E" w:rsidRDefault="00516D5E" w:rsidP="00921456">
            <w:pPr>
              <w:rPr>
                <w:szCs w:val="24"/>
              </w:rPr>
            </w:pPr>
          </w:p>
        </w:tc>
        <w:tc>
          <w:tcPr>
            <w:tcW w:w="677" w:type="dxa"/>
          </w:tcPr>
          <w:p w14:paraId="7E5124CF" w14:textId="77777777" w:rsidR="00516D5E" w:rsidRDefault="00516D5E" w:rsidP="00921456">
            <w:pPr>
              <w:rPr>
                <w:szCs w:val="24"/>
              </w:rPr>
            </w:pPr>
          </w:p>
        </w:tc>
        <w:tc>
          <w:tcPr>
            <w:tcW w:w="677" w:type="dxa"/>
          </w:tcPr>
          <w:p w14:paraId="09FE1E0D" w14:textId="77777777" w:rsidR="00516D5E" w:rsidRDefault="00516D5E" w:rsidP="00921456">
            <w:pPr>
              <w:rPr>
                <w:szCs w:val="24"/>
              </w:rPr>
            </w:pPr>
          </w:p>
        </w:tc>
        <w:tc>
          <w:tcPr>
            <w:tcW w:w="678" w:type="dxa"/>
          </w:tcPr>
          <w:p w14:paraId="74D38E25" w14:textId="77777777" w:rsidR="00516D5E" w:rsidRDefault="00516D5E" w:rsidP="00921456">
            <w:pPr>
              <w:rPr>
                <w:szCs w:val="24"/>
              </w:rPr>
            </w:pPr>
          </w:p>
        </w:tc>
      </w:tr>
      <w:tr w:rsidR="00516D5E" w14:paraId="272A0AC8" w14:textId="77777777" w:rsidTr="00302C2B">
        <w:tc>
          <w:tcPr>
            <w:tcW w:w="2527" w:type="dxa"/>
          </w:tcPr>
          <w:p w14:paraId="0AA30914" w14:textId="79A84452" w:rsidR="00516D5E" w:rsidRDefault="006314FA" w:rsidP="006314FA">
            <w:pPr>
              <w:rPr>
                <w:szCs w:val="24"/>
              </w:rPr>
            </w:pPr>
            <w:r>
              <w:rPr>
                <w:szCs w:val="24"/>
              </w:rPr>
              <w:t>Maintenance des mâchoires affectant le tilt ou la position</w:t>
            </w:r>
          </w:p>
        </w:tc>
        <w:tc>
          <w:tcPr>
            <w:tcW w:w="677" w:type="dxa"/>
          </w:tcPr>
          <w:p w14:paraId="2B9FF5F2" w14:textId="77777777" w:rsidR="00516D5E" w:rsidRDefault="00516D5E" w:rsidP="00921456">
            <w:pPr>
              <w:rPr>
                <w:szCs w:val="24"/>
              </w:rPr>
            </w:pPr>
          </w:p>
        </w:tc>
        <w:tc>
          <w:tcPr>
            <w:tcW w:w="677" w:type="dxa"/>
          </w:tcPr>
          <w:p w14:paraId="32AB08CD" w14:textId="77777777" w:rsidR="00516D5E" w:rsidRDefault="00516D5E" w:rsidP="00921456">
            <w:pPr>
              <w:rPr>
                <w:szCs w:val="24"/>
              </w:rPr>
            </w:pPr>
          </w:p>
        </w:tc>
        <w:tc>
          <w:tcPr>
            <w:tcW w:w="677" w:type="dxa"/>
          </w:tcPr>
          <w:p w14:paraId="667D69AD" w14:textId="77777777" w:rsidR="00516D5E" w:rsidRDefault="00516D5E" w:rsidP="00921456">
            <w:pPr>
              <w:rPr>
                <w:szCs w:val="24"/>
              </w:rPr>
            </w:pPr>
          </w:p>
        </w:tc>
        <w:tc>
          <w:tcPr>
            <w:tcW w:w="677" w:type="dxa"/>
          </w:tcPr>
          <w:p w14:paraId="744BFD71" w14:textId="77777777" w:rsidR="00516D5E" w:rsidRDefault="00516D5E" w:rsidP="00921456">
            <w:pPr>
              <w:rPr>
                <w:szCs w:val="24"/>
              </w:rPr>
            </w:pPr>
            <w:bookmarkStart w:id="0" w:name="_GoBack"/>
            <w:bookmarkEnd w:id="0"/>
          </w:p>
        </w:tc>
        <w:tc>
          <w:tcPr>
            <w:tcW w:w="677" w:type="dxa"/>
          </w:tcPr>
          <w:p w14:paraId="2246D1F6" w14:textId="77777777" w:rsidR="00516D5E" w:rsidRDefault="00516D5E" w:rsidP="00921456">
            <w:pPr>
              <w:rPr>
                <w:szCs w:val="24"/>
              </w:rPr>
            </w:pPr>
          </w:p>
        </w:tc>
        <w:tc>
          <w:tcPr>
            <w:tcW w:w="677" w:type="dxa"/>
          </w:tcPr>
          <w:p w14:paraId="11F1923A" w14:textId="4751F9F2" w:rsidR="00516D5E" w:rsidRDefault="006314FA" w:rsidP="00921456">
            <w:pPr>
              <w:rPr>
                <w:szCs w:val="24"/>
              </w:rPr>
            </w:pPr>
            <w:r>
              <w:rPr>
                <w:szCs w:val="24"/>
              </w:rPr>
              <w:t>*</w:t>
            </w:r>
          </w:p>
        </w:tc>
        <w:tc>
          <w:tcPr>
            <w:tcW w:w="677" w:type="dxa"/>
          </w:tcPr>
          <w:p w14:paraId="7B8375F6" w14:textId="77777777" w:rsidR="00516D5E" w:rsidRDefault="00516D5E" w:rsidP="00921456">
            <w:pPr>
              <w:rPr>
                <w:szCs w:val="24"/>
              </w:rPr>
            </w:pPr>
          </w:p>
        </w:tc>
        <w:tc>
          <w:tcPr>
            <w:tcW w:w="677" w:type="dxa"/>
          </w:tcPr>
          <w:p w14:paraId="7D5155B9" w14:textId="77777777" w:rsidR="00516D5E" w:rsidRDefault="00516D5E" w:rsidP="00921456">
            <w:pPr>
              <w:rPr>
                <w:szCs w:val="24"/>
              </w:rPr>
            </w:pPr>
          </w:p>
        </w:tc>
        <w:tc>
          <w:tcPr>
            <w:tcW w:w="677" w:type="dxa"/>
          </w:tcPr>
          <w:p w14:paraId="3452A80C" w14:textId="77777777" w:rsidR="00516D5E" w:rsidRDefault="00516D5E" w:rsidP="00921456">
            <w:pPr>
              <w:rPr>
                <w:szCs w:val="24"/>
              </w:rPr>
            </w:pPr>
          </w:p>
        </w:tc>
        <w:tc>
          <w:tcPr>
            <w:tcW w:w="677" w:type="dxa"/>
          </w:tcPr>
          <w:p w14:paraId="6205A85A" w14:textId="77777777" w:rsidR="00516D5E" w:rsidRDefault="00516D5E" w:rsidP="00921456">
            <w:pPr>
              <w:rPr>
                <w:szCs w:val="24"/>
              </w:rPr>
            </w:pPr>
          </w:p>
        </w:tc>
        <w:tc>
          <w:tcPr>
            <w:tcW w:w="677" w:type="dxa"/>
          </w:tcPr>
          <w:p w14:paraId="0E18764A" w14:textId="77777777" w:rsidR="00516D5E" w:rsidRDefault="00516D5E" w:rsidP="00921456">
            <w:pPr>
              <w:rPr>
                <w:szCs w:val="24"/>
              </w:rPr>
            </w:pPr>
          </w:p>
        </w:tc>
        <w:tc>
          <w:tcPr>
            <w:tcW w:w="678" w:type="dxa"/>
          </w:tcPr>
          <w:p w14:paraId="5B7EB672" w14:textId="77777777" w:rsidR="00516D5E" w:rsidRDefault="00516D5E" w:rsidP="00921456">
            <w:pPr>
              <w:rPr>
                <w:szCs w:val="24"/>
              </w:rPr>
            </w:pPr>
          </w:p>
        </w:tc>
      </w:tr>
      <w:tr w:rsidR="00516D5E" w14:paraId="33B01620" w14:textId="77777777" w:rsidTr="00302C2B">
        <w:tc>
          <w:tcPr>
            <w:tcW w:w="2527" w:type="dxa"/>
          </w:tcPr>
          <w:p w14:paraId="12EC6C8E" w14:textId="3AA1AE2E" w:rsidR="00516D5E" w:rsidRDefault="006314FA" w:rsidP="00921456">
            <w:pPr>
              <w:rPr>
                <w:szCs w:val="24"/>
              </w:rPr>
            </w:pPr>
            <w:r>
              <w:rPr>
                <w:szCs w:val="24"/>
              </w:rPr>
              <w:t>Remplacement applicateur d’électron</w:t>
            </w:r>
          </w:p>
        </w:tc>
        <w:tc>
          <w:tcPr>
            <w:tcW w:w="677" w:type="dxa"/>
          </w:tcPr>
          <w:p w14:paraId="130D4B85" w14:textId="77777777" w:rsidR="00516D5E" w:rsidRDefault="00516D5E" w:rsidP="00921456">
            <w:pPr>
              <w:rPr>
                <w:szCs w:val="24"/>
              </w:rPr>
            </w:pPr>
          </w:p>
        </w:tc>
        <w:tc>
          <w:tcPr>
            <w:tcW w:w="677" w:type="dxa"/>
          </w:tcPr>
          <w:p w14:paraId="0016EF2F" w14:textId="77777777" w:rsidR="00516D5E" w:rsidRDefault="00516D5E" w:rsidP="00921456">
            <w:pPr>
              <w:rPr>
                <w:szCs w:val="24"/>
              </w:rPr>
            </w:pPr>
          </w:p>
        </w:tc>
        <w:tc>
          <w:tcPr>
            <w:tcW w:w="677" w:type="dxa"/>
          </w:tcPr>
          <w:p w14:paraId="0AE28497" w14:textId="77777777" w:rsidR="00516D5E" w:rsidRDefault="00516D5E" w:rsidP="00921456">
            <w:pPr>
              <w:rPr>
                <w:szCs w:val="24"/>
              </w:rPr>
            </w:pPr>
          </w:p>
        </w:tc>
        <w:tc>
          <w:tcPr>
            <w:tcW w:w="677" w:type="dxa"/>
          </w:tcPr>
          <w:p w14:paraId="2F055645" w14:textId="77777777" w:rsidR="00516D5E" w:rsidRDefault="00516D5E" w:rsidP="00921456">
            <w:pPr>
              <w:rPr>
                <w:szCs w:val="24"/>
              </w:rPr>
            </w:pPr>
          </w:p>
        </w:tc>
        <w:tc>
          <w:tcPr>
            <w:tcW w:w="677" w:type="dxa"/>
          </w:tcPr>
          <w:p w14:paraId="7ACB6C26" w14:textId="77777777" w:rsidR="00516D5E" w:rsidRDefault="00516D5E" w:rsidP="00921456">
            <w:pPr>
              <w:rPr>
                <w:szCs w:val="24"/>
              </w:rPr>
            </w:pPr>
          </w:p>
        </w:tc>
        <w:tc>
          <w:tcPr>
            <w:tcW w:w="677" w:type="dxa"/>
          </w:tcPr>
          <w:p w14:paraId="6900E8AF" w14:textId="77777777" w:rsidR="00516D5E" w:rsidRDefault="00516D5E" w:rsidP="00921456">
            <w:pPr>
              <w:rPr>
                <w:szCs w:val="24"/>
              </w:rPr>
            </w:pPr>
          </w:p>
        </w:tc>
        <w:tc>
          <w:tcPr>
            <w:tcW w:w="677" w:type="dxa"/>
          </w:tcPr>
          <w:p w14:paraId="62EB7D94" w14:textId="77777777" w:rsidR="00516D5E" w:rsidRDefault="00516D5E" w:rsidP="00921456">
            <w:pPr>
              <w:rPr>
                <w:szCs w:val="24"/>
              </w:rPr>
            </w:pPr>
          </w:p>
        </w:tc>
        <w:tc>
          <w:tcPr>
            <w:tcW w:w="677" w:type="dxa"/>
          </w:tcPr>
          <w:p w14:paraId="7F3D8834" w14:textId="77777777" w:rsidR="00516D5E" w:rsidRDefault="00516D5E" w:rsidP="00921456">
            <w:pPr>
              <w:rPr>
                <w:szCs w:val="24"/>
              </w:rPr>
            </w:pPr>
          </w:p>
        </w:tc>
        <w:tc>
          <w:tcPr>
            <w:tcW w:w="677" w:type="dxa"/>
          </w:tcPr>
          <w:p w14:paraId="769F333D" w14:textId="77777777" w:rsidR="00516D5E" w:rsidRDefault="00516D5E" w:rsidP="00921456">
            <w:pPr>
              <w:rPr>
                <w:szCs w:val="24"/>
              </w:rPr>
            </w:pPr>
          </w:p>
        </w:tc>
        <w:tc>
          <w:tcPr>
            <w:tcW w:w="677" w:type="dxa"/>
          </w:tcPr>
          <w:p w14:paraId="547DB135" w14:textId="56A1A803" w:rsidR="00516D5E" w:rsidRDefault="006314FA" w:rsidP="00921456">
            <w:pPr>
              <w:rPr>
                <w:szCs w:val="24"/>
              </w:rPr>
            </w:pPr>
            <w:r>
              <w:rPr>
                <w:szCs w:val="24"/>
              </w:rPr>
              <w:t>*</w:t>
            </w:r>
          </w:p>
        </w:tc>
        <w:tc>
          <w:tcPr>
            <w:tcW w:w="677" w:type="dxa"/>
          </w:tcPr>
          <w:p w14:paraId="75041671" w14:textId="77777777" w:rsidR="00516D5E" w:rsidRDefault="00516D5E" w:rsidP="00921456">
            <w:pPr>
              <w:rPr>
                <w:szCs w:val="24"/>
              </w:rPr>
            </w:pPr>
          </w:p>
        </w:tc>
        <w:tc>
          <w:tcPr>
            <w:tcW w:w="678" w:type="dxa"/>
          </w:tcPr>
          <w:p w14:paraId="38DDE53D" w14:textId="12B76890" w:rsidR="00516D5E" w:rsidRDefault="006314FA" w:rsidP="00921456">
            <w:pPr>
              <w:rPr>
                <w:szCs w:val="24"/>
              </w:rPr>
            </w:pPr>
            <w:r>
              <w:rPr>
                <w:szCs w:val="24"/>
              </w:rPr>
              <w:t>*</w:t>
            </w:r>
          </w:p>
        </w:tc>
      </w:tr>
    </w:tbl>
    <w:p w14:paraId="300E33D6" w14:textId="77777777" w:rsidR="00516D5E" w:rsidRDefault="00516D5E" w:rsidP="00921456">
      <w:pPr>
        <w:rPr>
          <w:szCs w:val="24"/>
        </w:rPr>
      </w:pPr>
    </w:p>
    <w:p w14:paraId="7F6E6217" w14:textId="01CC4916" w:rsidR="00A406CA" w:rsidRDefault="00A406CA" w:rsidP="00921456">
      <w:pPr>
        <w:rPr>
          <w:szCs w:val="24"/>
        </w:rPr>
      </w:pPr>
    </w:p>
    <w:p w14:paraId="3A5C2F67" w14:textId="500C4552" w:rsidR="00633896" w:rsidRDefault="00633896" w:rsidP="00921456">
      <w:pPr>
        <w:rPr>
          <w:szCs w:val="24"/>
        </w:rPr>
      </w:pPr>
    </w:p>
    <w:p w14:paraId="1E294AAF" w14:textId="4263C78F" w:rsidR="00633896" w:rsidRPr="00921456" w:rsidRDefault="00633896" w:rsidP="00921456">
      <w:pPr>
        <w:rPr>
          <w:szCs w:val="24"/>
        </w:rPr>
      </w:pPr>
    </w:p>
    <w:sectPr w:rsidR="00633896" w:rsidRPr="00921456" w:rsidSect="00E95A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C4A06"/>
    <w:multiLevelType w:val="hybridMultilevel"/>
    <w:tmpl w:val="47AACE4C"/>
    <w:lvl w:ilvl="0" w:tplc="1D408E5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502F39"/>
    <w:multiLevelType w:val="hybridMultilevel"/>
    <w:tmpl w:val="5F36FF6C"/>
    <w:lvl w:ilvl="0" w:tplc="577E0D7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020DFB"/>
    <w:multiLevelType w:val="hybridMultilevel"/>
    <w:tmpl w:val="AC1C526A"/>
    <w:lvl w:ilvl="0" w:tplc="1A8E0420">
      <w:start w:val="2"/>
      <w:numFmt w:val="bullet"/>
      <w:lvlText w:val=""/>
      <w:lvlJc w:val="left"/>
      <w:pPr>
        <w:ind w:left="3195" w:hanging="360"/>
      </w:pPr>
      <w:rPr>
        <w:rFonts w:ascii="Wingdings" w:eastAsiaTheme="minorHAnsi" w:hAnsi="Wingdings" w:cstheme="minorBidi" w:hint="default"/>
      </w:rPr>
    </w:lvl>
    <w:lvl w:ilvl="1" w:tplc="040C0003">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B53"/>
    <w:rsid w:val="0005109E"/>
    <w:rsid w:val="0005245F"/>
    <w:rsid w:val="000975A2"/>
    <w:rsid w:val="000D396F"/>
    <w:rsid w:val="00153F3C"/>
    <w:rsid w:val="0018477F"/>
    <w:rsid w:val="001B14E0"/>
    <w:rsid w:val="00220B81"/>
    <w:rsid w:val="0026392E"/>
    <w:rsid w:val="002B5BB0"/>
    <w:rsid w:val="002C1590"/>
    <w:rsid w:val="00302C2B"/>
    <w:rsid w:val="003265D0"/>
    <w:rsid w:val="0034243A"/>
    <w:rsid w:val="003501F0"/>
    <w:rsid w:val="003964E3"/>
    <w:rsid w:val="003B3A54"/>
    <w:rsid w:val="003B4750"/>
    <w:rsid w:val="003F1EA3"/>
    <w:rsid w:val="003F46DF"/>
    <w:rsid w:val="003F786C"/>
    <w:rsid w:val="00425548"/>
    <w:rsid w:val="00494D9D"/>
    <w:rsid w:val="004F1714"/>
    <w:rsid w:val="0050392D"/>
    <w:rsid w:val="00515A72"/>
    <w:rsid w:val="00516D5E"/>
    <w:rsid w:val="00550DA9"/>
    <w:rsid w:val="0055670C"/>
    <w:rsid w:val="005B1A6C"/>
    <w:rsid w:val="005B2F14"/>
    <w:rsid w:val="006037B9"/>
    <w:rsid w:val="0060408F"/>
    <w:rsid w:val="00617F5F"/>
    <w:rsid w:val="006314FA"/>
    <w:rsid w:val="00633896"/>
    <w:rsid w:val="006C69CA"/>
    <w:rsid w:val="00720812"/>
    <w:rsid w:val="007A0499"/>
    <w:rsid w:val="007C1058"/>
    <w:rsid w:val="007E4E22"/>
    <w:rsid w:val="008076BD"/>
    <w:rsid w:val="0091032C"/>
    <w:rsid w:val="00921456"/>
    <w:rsid w:val="00962DBB"/>
    <w:rsid w:val="009853C5"/>
    <w:rsid w:val="009D43C9"/>
    <w:rsid w:val="00A02171"/>
    <w:rsid w:val="00A15FDA"/>
    <w:rsid w:val="00A406CA"/>
    <w:rsid w:val="00A506A8"/>
    <w:rsid w:val="00A81B53"/>
    <w:rsid w:val="00B02D65"/>
    <w:rsid w:val="00B15D93"/>
    <w:rsid w:val="00B55722"/>
    <w:rsid w:val="00B87888"/>
    <w:rsid w:val="00BA2EFC"/>
    <w:rsid w:val="00BD3A74"/>
    <w:rsid w:val="00C43227"/>
    <w:rsid w:val="00C56B57"/>
    <w:rsid w:val="00CA0EFD"/>
    <w:rsid w:val="00CB1FC3"/>
    <w:rsid w:val="00CC1289"/>
    <w:rsid w:val="00CD76E9"/>
    <w:rsid w:val="00CE6093"/>
    <w:rsid w:val="00D86E06"/>
    <w:rsid w:val="00D90CA3"/>
    <w:rsid w:val="00E009C1"/>
    <w:rsid w:val="00E4114D"/>
    <w:rsid w:val="00E64B53"/>
    <w:rsid w:val="00E67E3C"/>
    <w:rsid w:val="00E95AA7"/>
    <w:rsid w:val="00EF6EDF"/>
    <w:rsid w:val="00F01BAF"/>
    <w:rsid w:val="00FB15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7EA47"/>
  <w15:chartTrackingRefBased/>
  <w15:docId w15:val="{1F3DB0BB-D1A5-44DA-A594-D1A3B4699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15A72"/>
    <w:pPr>
      <w:ind w:left="720"/>
      <w:contextualSpacing/>
    </w:pPr>
  </w:style>
  <w:style w:type="character" w:styleId="Textedelespacerserv">
    <w:name w:val="Placeholder Text"/>
    <w:basedOn w:val="Policepardfaut"/>
    <w:uiPriority w:val="99"/>
    <w:semiHidden/>
    <w:rsid w:val="00515A72"/>
    <w:rPr>
      <w:color w:val="808080"/>
    </w:rPr>
  </w:style>
  <w:style w:type="table" w:styleId="Grilledutableau">
    <w:name w:val="Table Grid"/>
    <w:basedOn w:val="TableauNormal"/>
    <w:uiPriority w:val="39"/>
    <w:rsid w:val="0061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3B3A54"/>
    <w:rPr>
      <w:sz w:val="16"/>
      <w:szCs w:val="16"/>
    </w:rPr>
  </w:style>
  <w:style w:type="paragraph" w:styleId="Commentaire">
    <w:name w:val="annotation text"/>
    <w:basedOn w:val="Normal"/>
    <w:link w:val="CommentaireCar"/>
    <w:uiPriority w:val="99"/>
    <w:semiHidden/>
    <w:unhideWhenUsed/>
    <w:rsid w:val="003B3A54"/>
    <w:pPr>
      <w:spacing w:line="240" w:lineRule="auto"/>
    </w:pPr>
    <w:rPr>
      <w:sz w:val="20"/>
      <w:szCs w:val="20"/>
    </w:rPr>
  </w:style>
  <w:style w:type="character" w:customStyle="1" w:styleId="CommentaireCar">
    <w:name w:val="Commentaire Car"/>
    <w:basedOn w:val="Policepardfaut"/>
    <w:link w:val="Commentaire"/>
    <w:uiPriority w:val="99"/>
    <w:semiHidden/>
    <w:rsid w:val="003B3A54"/>
    <w:rPr>
      <w:sz w:val="20"/>
      <w:szCs w:val="20"/>
    </w:rPr>
  </w:style>
  <w:style w:type="paragraph" w:styleId="Objetducommentaire">
    <w:name w:val="annotation subject"/>
    <w:basedOn w:val="Commentaire"/>
    <w:next w:val="Commentaire"/>
    <w:link w:val="ObjetducommentaireCar"/>
    <w:uiPriority w:val="99"/>
    <w:semiHidden/>
    <w:unhideWhenUsed/>
    <w:rsid w:val="003B3A54"/>
    <w:rPr>
      <w:b/>
      <w:bCs/>
    </w:rPr>
  </w:style>
  <w:style w:type="character" w:customStyle="1" w:styleId="ObjetducommentaireCar">
    <w:name w:val="Objet du commentaire Car"/>
    <w:basedOn w:val="CommentaireCar"/>
    <w:link w:val="Objetducommentaire"/>
    <w:uiPriority w:val="99"/>
    <w:semiHidden/>
    <w:rsid w:val="003B3A54"/>
    <w:rPr>
      <w:b/>
      <w:bCs/>
      <w:sz w:val="20"/>
      <w:szCs w:val="20"/>
    </w:rPr>
  </w:style>
  <w:style w:type="paragraph" w:styleId="Textedebulles">
    <w:name w:val="Balloon Text"/>
    <w:basedOn w:val="Normal"/>
    <w:link w:val="TextedebullesCar"/>
    <w:uiPriority w:val="99"/>
    <w:semiHidden/>
    <w:unhideWhenUsed/>
    <w:rsid w:val="00E95AA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95A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BE269-850E-4F6F-8625-E8037C50C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1510</TotalTime>
  <Pages>13</Pages>
  <Words>5548</Words>
  <Characters>30516</Characters>
  <Application>Microsoft Office Word</Application>
  <DocSecurity>0</DocSecurity>
  <Lines>254</Lines>
  <Paragraphs>71</Paragraphs>
  <ScaleCrop>false</ScaleCrop>
  <HeadingPairs>
    <vt:vector size="2" baseType="variant">
      <vt:variant>
        <vt:lpstr>Titre</vt:lpstr>
      </vt:variant>
      <vt:variant>
        <vt:i4>1</vt:i4>
      </vt:variant>
    </vt:vector>
  </HeadingPairs>
  <TitlesOfParts>
    <vt:vector size="1" baseType="lpstr">
      <vt:lpstr/>
    </vt:vector>
  </TitlesOfParts>
  <Company>ICO</Company>
  <LinksUpToDate>false</LinksUpToDate>
  <CharactersWithSpaces>35993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Gontier Charlotte</dc:creator>
  <cp:keywords/>
  <dc:description/>
  <cp:lastModifiedBy>Gontier Charlotte</cp:lastModifiedBy>
  <cp:revision>31</cp:revision>
  <cp:lastPrinted>2022-11-21T07:23:00Z</cp:lastPrinted>
  <dcterms:created xsi:type="dcterms:W3CDTF">2022-07-06T15:22:00Z</dcterms:created>
  <dcterms:modified xsi:type="dcterms:W3CDTF">2022-11-21T15:40:00Z</dcterms:modified>
</cp:coreProperties>
</file>