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41" w:rsidRDefault="00571E4D" w:rsidP="00571E4D">
      <w:pPr>
        <w:jc w:val="center"/>
        <w:rPr>
          <w:sz w:val="32"/>
        </w:rPr>
      </w:pPr>
      <w:r>
        <w:rPr>
          <w:sz w:val="32"/>
        </w:rPr>
        <w:t>Prépa fiche 5 : E2E</w:t>
      </w:r>
    </w:p>
    <w:p w:rsidR="00571E4D" w:rsidRDefault="00571E4D" w:rsidP="00571E4D">
      <w:r>
        <w:t xml:space="preserve">Cible mobile : Plateforme mobile CIRS + RGSC </w:t>
      </w:r>
      <w:r>
        <w:sym w:font="Wingdings" w:char="F0E0"/>
      </w:r>
      <w:r>
        <w:t xml:space="preserve"> collimateur MLC, type de repositionnement </w:t>
      </w:r>
      <w:r>
        <w:sym w:font="Wingdings" w:char="F0E0"/>
      </w:r>
      <w:r>
        <w:t xml:space="preserve"> IGRT CBCT4D + scopie (</w:t>
      </w:r>
      <w:proofErr w:type="spellStart"/>
      <w:r>
        <w:t>Varian</w:t>
      </w:r>
      <w:proofErr w:type="spellEnd"/>
      <w:r>
        <w:t>)</w:t>
      </w:r>
    </w:p>
    <w:p w:rsidR="00571E4D" w:rsidRDefault="00571E4D" w:rsidP="00571E4D">
      <w:r>
        <w:t xml:space="preserve">Matériel : </w:t>
      </w:r>
    </w:p>
    <w:p w:rsidR="00571E4D" w:rsidRDefault="00571E4D" w:rsidP="00571E4D">
      <w:pPr>
        <w:pStyle w:val="Paragraphedeliste"/>
        <w:numPr>
          <w:ilvl w:val="0"/>
          <w:numId w:val="10"/>
        </w:numPr>
      </w:pPr>
      <w:r>
        <w:t>Fantôme anthropomorphe CIRS IMRT Thorax</w:t>
      </w:r>
    </w:p>
    <w:p w:rsidR="00571E4D" w:rsidRDefault="00571E4D" w:rsidP="00571E4D">
      <w:pPr>
        <w:pStyle w:val="Paragraphedeliste"/>
        <w:numPr>
          <w:ilvl w:val="0"/>
          <w:numId w:val="10"/>
        </w:numPr>
      </w:pPr>
      <w:r>
        <w:t>Plateforme mobile CIRS</w:t>
      </w:r>
    </w:p>
    <w:p w:rsidR="00571E4D" w:rsidRDefault="00571E4D" w:rsidP="00571E4D">
      <w:pPr>
        <w:pStyle w:val="Paragraphedeliste"/>
        <w:numPr>
          <w:ilvl w:val="0"/>
          <w:numId w:val="10"/>
        </w:numPr>
      </w:pPr>
      <w:r>
        <w:t>Plaque AIO non utilisée (incompatible avec la plateforme mobile)</w:t>
      </w:r>
    </w:p>
    <w:p w:rsidR="00D35B38" w:rsidRDefault="00571E4D" w:rsidP="00F56129">
      <w:pPr>
        <w:pStyle w:val="Paragraphedeliste"/>
        <w:numPr>
          <w:ilvl w:val="0"/>
          <w:numId w:val="10"/>
        </w:numPr>
      </w:pPr>
      <w:r>
        <w:t>Chambre d’ionisation PTW 31010</w:t>
      </w:r>
    </w:p>
    <w:p w:rsidR="00D35B38" w:rsidRDefault="00D35B38" w:rsidP="00D35B38">
      <w:r>
        <w:t>Positionnement :</w:t>
      </w:r>
    </w:p>
    <w:p w:rsidR="00D35B38" w:rsidRDefault="00D35B38" w:rsidP="00D35B38">
      <w:pPr>
        <w:pStyle w:val="Paragraphedeliste"/>
        <w:numPr>
          <w:ilvl w:val="0"/>
          <w:numId w:val="10"/>
        </w:numPr>
      </w:pPr>
      <w:r>
        <w:t>Le fantôme IMRT Thorax est placé centré sur la plateforme mobile côté tête tandis que la plateforme se déplaçant verticalement est positionné côté pieds</w:t>
      </w:r>
    </w:p>
    <w:p w:rsidR="00D35B38" w:rsidRDefault="00D35B38" w:rsidP="00D35B38">
      <w:pPr>
        <w:pStyle w:val="Paragraphedeliste"/>
        <w:numPr>
          <w:ilvl w:val="0"/>
          <w:numId w:val="10"/>
        </w:numPr>
      </w:pPr>
      <w:r>
        <w:t>Bien respecter</w:t>
      </w:r>
      <w:r w:rsidR="00BB1D98">
        <w:t xml:space="preserve"> l’ordre suivant lors de l’installation : effectuer tous les branchements (connections RJ45/USB en salle et au niveau du PC contrôlant le mouvement), mettre sous tension le système, attendre la fin de l’initialisation automatique de la plateforme puis démarrer l’application « Motion control » (application installée sur PC NVTB + PC portable SRS)</w:t>
      </w:r>
    </w:p>
    <w:p w:rsidR="00BB1D98" w:rsidRDefault="0070622E" w:rsidP="00D35B38">
      <w:pPr>
        <w:pStyle w:val="Paragraphedeliste"/>
        <w:numPr>
          <w:ilvl w:val="0"/>
          <w:numId w:val="10"/>
        </w:numPr>
      </w:pPr>
      <w:r>
        <w:t>Param</w:t>
      </w:r>
      <w:r w:rsidR="00BB1D98">
        <w:t>é</w:t>
      </w:r>
      <w:r>
        <w:t>t</w:t>
      </w:r>
      <w:bookmarkStart w:id="0" w:name="_GoBack"/>
      <w:bookmarkEnd w:id="0"/>
      <w:r w:rsidR="00BB1D98">
        <w:t>rage d’un mouvement ample :</w:t>
      </w:r>
    </w:p>
    <w:p w:rsidR="00BB1D98" w:rsidRDefault="00BB1D98" w:rsidP="00BB1D98">
      <w:pPr>
        <w:pStyle w:val="Paragraphedeliste"/>
        <w:numPr>
          <w:ilvl w:val="1"/>
          <w:numId w:val="10"/>
        </w:numPr>
      </w:pPr>
      <w:r>
        <w:t>Inférieur/postérieur : amplitude de 10 mm (déplacement de 20 mm), Cycle de 4s</w:t>
      </w:r>
    </w:p>
    <w:p w:rsidR="00BB1D98" w:rsidRDefault="00BB1D98" w:rsidP="00BB1D98">
      <w:pPr>
        <w:pStyle w:val="Paragraphedeliste"/>
        <w:numPr>
          <w:ilvl w:val="1"/>
          <w:numId w:val="10"/>
        </w:numPr>
      </w:pPr>
      <w:proofErr w:type="spellStart"/>
      <w:r>
        <w:t>Surrogate</w:t>
      </w:r>
      <w:proofErr w:type="spellEnd"/>
      <w:r>
        <w:t> : Amplitude de 5 mm (déplacement de 10), cycle de 4s, phase shift de 0%</w:t>
      </w:r>
    </w:p>
    <w:p w:rsidR="00BB1D98" w:rsidRDefault="00BB1D98" w:rsidP="00BB1D98">
      <w:pPr>
        <w:pStyle w:val="Paragraphedeliste"/>
        <w:numPr>
          <w:ilvl w:val="1"/>
          <w:numId w:val="10"/>
        </w:numPr>
      </w:pPr>
      <w:proofErr w:type="spellStart"/>
      <w:r>
        <w:t>Loops</w:t>
      </w:r>
      <w:proofErr w:type="spellEnd"/>
      <w:r>
        <w:t> : 99999</w:t>
      </w:r>
    </w:p>
    <w:p w:rsidR="00BB1D98" w:rsidRDefault="00BB1D98" w:rsidP="00BB1D98">
      <w:r>
        <w:t>Acquisition des images :</w:t>
      </w:r>
    </w:p>
    <w:p w:rsidR="00BB1D98" w:rsidRDefault="00BB1D98" w:rsidP="00BB1D98">
      <w:pPr>
        <w:pStyle w:val="Paragraphedeliste"/>
        <w:numPr>
          <w:ilvl w:val="0"/>
          <w:numId w:val="10"/>
        </w:numPr>
      </w:pPr>
      <w:r>
        <w:t xml:space="preserve">ID et nom du fantôme TDM &gt; </w:t>
      </w:r>
      <w:proofErr w:type="spellStart"/>
      <w:r>
        <w:t>iPlanRTImage</w:t>
      </w:r>
      <w:proofErr w:type="spellEnd"/>
      <w:r>
        <w:t xml:space="preserve"> (Répertoire </w:t>
      </w:r>
      <w:proofErr w:type="spellStart"/>
      <w:r>
        <w:t>xBrain</w:t>
      </w:r>
      <w:proofErr w:type="spellEnd"/>
      <w:r>
        <w:t>-fantômes) : ZZ-E2E-M-d-année (fantôme mobile : M)</w:t>
      </w:r>
    </w:p>
    <w:p w:rsidR="00BB1D98" w:rsidRDefault="00F56129" w:rsidP="00BB1D98">
      <w:pPr>
        <w:pStyle w:val="Paragraphedeliste"/>
        <w:numPr>
          <w:ilvl w:val="0"/>
          <w:numId w:val="10"/>
        </w:numPr>
      </w:pPr>
      <w:r>
        <w:t>Protocole d’imagerie usuel (MOG703)</w:t>
      </w:r>
    </w:p>
    <w:p w:rsidR="00F56129" w:rsidRDefault="00F56129" w:rsidP="00BB1D98">
      <w:pPr>
        <w:pStyle w:val="Paragraphedeliste"/>
        <w:numPr>
          <w:ilvl w:val="0"/>
          <w:numId w:val="10"/>
        </w:numPr>
      </w:pPr>
      <w:r>
        <w:t>Acquisition d’’un TDM 4D avec suivi RGSC avec insert CV511 et chambre d’ionisation 31010 (PTW) dans le poumon droit (simulation de la stratégie ITV)</w:t>
      </w:r>
    </w:p>
    <w:p w:rsidR="00F56129" w:rsidRDefault="00F56129" w:rsidP="00BB1D98">
      <w:pPr>
        <w:pStyle w:val="Paragraphedeliste"/>
        <w:numPr>
          <w:ilvl w:val="0"/>
          <w:numId w:val="10"/>
        </w:numPr>
      </w:pPr>
      <w:r>
        <w:t>Reconstructions complémentaires : 0% + 100% + t-MIP</w:t>
      </w:r>
    </w:p>
    <w:p w:rsidR="00F56129" w:rsidRDefault="00F56129" w:rsidP="00BB1D98">
      <w:pPr>
        <w:pStyle w:val="Paragraphedeliste"/>
        <w:numPr>
          <w:ilvl w:val="0"/>
          <w:numId w:val="10"/>
        </w:numPr>
      </w:pPr>
      <w:r>
        <w:t>Transfert des différentes séries d’images sur IPLANNET2 : AVG + 0% + 100% + t-MIP</w:t>
      </w:r>
    </w:p>
    <w:p w:rsidR="00F56129" w:rsidRDefault="00F56129" w:rsidP="00F56129">
      <w:r>
        <w:t>Planification :</w:t>
      </w:r>
    </w:p>
    <w:p w:rsidR="00F56129" w:rsidRDefault="00F56129" w:rsidP="00F56129">
      <w:pPr>
        <w:pStyle w:val="Paragraphedeliste"/>
        <w:numPr>
          <w:ilvl w:val="0"/>
          <w:numId w:val="10"/>
        </w:numPr>
      </w:pPr>
      <w:r>
        <w:t>Création d’un patient (nom=ID) pour le fantôme TDM</w:t>
      </w:r>
    </w:p>
    <w:p w:rsidR="00F56129" w:rsidRDefault="00F56129" w:rsidP="00F56129">
      <w:pPr>
        <w:pStyle w:val="Paragraphedeliste"/>
        <w:numPr>
          <w:ilvl w:val="0"/>
          <w:numId w:val="10"/>
        </w:numPr>
      </w:pPr>
      <w:r>
        <w:t>Délinéation d’un cylindre de 25 mm de diamètre et de 30 mm de longueur, centré sur le point effectif de mesure de la CI 31010 sur les séries 0% (GTV0%) et 100% (GTV100%) puis union des sphères (ITV) et remplissage de l’ITV pour inclure les phases intermédiaires puis PTV = ITV+5mm. Ou dessiner directement le cylindre de 50 mm de longueur correspondant à la longueur d’un GTV (30mm) en mouvement (déplacement de 20mm)</w:t>
      </w:r>
    </w:p>
    <w:p w:rsidR="00F56129" w:rsidRDefault="00F56129" w:rsidP="00F56129">
      <w:pPr>
        <w:pStyle w:val="Paragraphedeliste"/>
        <w:numPr>
          <w:ilvl w:val="0"/>
          <w:numId w:val="10"/>
        </w:numPr>
      </w:pPr>
      <w:r>
        <w:t>Caractéristiques 31010 : 4,5 mm entre point effectif et extrémité extérieure de la chambre, épaisseur de paroi 0,8mm donc 3,7mm entre point effectif de mesure et extrémité interne de la chambre (utilisation fenêtre [-559</w:t>
      </w:r>
      <w:proofErr w:type="gramStart"/>
      <w:r>
        <w:t> ;-</w:t>
      </w:r>
      <w:proofErr w:type="gramEnd"/>
      <w:r>
        <w:t>351] pour visualiser la taille réelle de la cavité</w:t>
      </w:r>
    </w:p>
    <w:p w:rsidR="00F56129" w:rsidRDefault="00F56129" w:rsidP="00F56129">
      <w:pPr>
        <w:pStyle w:val="Paragraphedeliste"/>
        <w:numPr>
          <w:ilvl w:val="0"/>
          <w:numId w:val="10"/>
        </w:numPr>
      </w:pPr>
      <w:r>
        <w:t>Correction de la densité pour l’ITV (utilisation du UH moyen au tissu) et pour les trainées de billes latérales et antérieures</w:t>
      </w:r>
    </w:p>
    <w:p w:rsidR="00814BCD" w:rsidRDefault="00814BCD" w:rsidP="00814BCD">
      <w:pPr>
        <w:pStyle w:val="Paragraphedeliste"/>
        <w:numPr>
          <w:ilvl w:val="0"/>
          <w:numId w:val="10"/>
        </w:numPr>
      </w:pPr>
      <w:r>
        <w:t>Recalage et planification pour une stratégie ITV (TDM de référence AVG)</w:t>
      </w:r>
    </w:p>
    <w:p w:rsidR="00814BCD" w:rsidRDefault="00814BCD" w:rsidP="00814BCD">
      <w:pPr>
        <w:pStyle w:val="Paragraphedeliste"/>
        <w:numPr>
          <w:ilvl w:val="1"/>
          <w:numId w:val="10"/>
        </w:numPr>
      </w:pPr>
      <w:r>
        <w:t>Correction de la position de l’isocentre (isocentre strictement au centre de la bille)</w:t>
      </w:r>
    </w:p>
    <w:p w:rsidR="00814BCD" w:rsidRDefault="00814BCD" w:rsidP="00814BCD">
      <w:pPr>
        <w:pStyle w:val="Paragraphedeliste"/>
        <w:numPr>
          <w:ilvl w:val="1"/>
          <w:numId w:val="10"/>
        </w:numPr>
      </w:pPr>
      <w:r>
        <w:t xml:space="preserve">Nom de l’isocentre : </w:t>
      </w:r>
      <w:proofErr w:type="spellStart"/>
      <w:r>
        <w:t>CoordM</w:t>
      </w:r>
      <w:proofErr w:type="spellEnd"/>
    </w:p>
    <w:p w:rsidR="00814BCD" w:rsidRDefault="00814BCD" w:rsidP="00814BCD">
      <w:pPr>
        <w:pStyle w:val="Paragraphedeliste"/>
        <w:numPr>
          <w:ilvl w:val="1"/>
          <w:numId w:val="10"/>
        </w:numPr>
      </w:pPr>
      <w:r>
        <w:t>Energie et débit de dose maximal utilisée en clinique (6FF, 1400 UM/min)</w:t>
      </w:r>
    </w:p>
    <w:p w:rsidR="00814BCD" w:rsidRDefault="00814BCD" w:rsidP="00814BCD">
      <w:pPr>
        <w:pStyle w:val="Paragraphedeliste"/>
        <w:numPr>
          <w:ilvl w:val="1"/>
          <w:numId w:val="10"/>
        </w:numPr>
      </w:pPr>
      <w:r>
        <w:t>Prescription de 60 Gy à l’isocentre en 4 séances</w:t>
      </w:r>
    </w:p>
    <w:p w:rsidR="00814BCD" w:rsidRDefault="00814BCD" w:rsidP="00814BCD">
      <w:pPr>
        <w:pStyle w:val="Paragraphedeliste"/>
        <w:numPr>
          <w:ilvl w:val="2"/>
          <w:numId w:val="10"/>
        </w:numPr>
      </w:pPr>
      <w:r>
        <w:lastRenderedPageBreak/>
        <w:t>Balistique : DCA T0 G260° &gt;&gt; 40°</w:t>
      </w:r>
    </w:p>
    <w:p w:rsidR="00814BCD" w:rsidRDefault="00814BCD" w:rsidP="00814BCD">
      <w:pPr>
        <w:pStyle w:val="Paragraphedeliste"/>
        <w:numPr>
          <w:ilvl w:val="2"/>
          <w:numId w:val="10"/>
        </w:numPr>
      </w:pPr>
      <w:r>
        <w:t>TDM de référence : RL</w:t>
      </w:r>
    </w:p>
    <w:p w:rsidR="00814BCD" w:rsidRDefault="00814BCD" w:rsidP="00814BCD">
      <w:pPr>
        <w:pStyle w:val="Paragraphedeliste"/>
        <w:numPr>
          <w:ilvl w:val="2"/>
          <w:numId w:val="10"/>
        </w:numPr>
      </w:pPr>
      <w:r>
        <w:t>Collimation : marge 1mm/PTV</w:t>
      </w:r>
    </w:p>
    <w:p w:rsidR="00814BCD" w:rsidRDefault="00814BCD" w:rsidP="00814BCD">
      <w:pPr>
        <w:pStyle w:val="Paragraphedeliste"/>
        <w:numPr>
          <w:ilvl w:val="2"/>
          <w:numId w:val="10"/>
        </w:numPr>
      </w:pPr>
      <w:r>
        <w:t>Repositionnement : CBCT 4D + scopie</w:t>
      </w:r>
    </w:p>
    <w:p w:rsidR="00814BCD" w:rsidRDefault="00814BCD" w:rsidP="00814BCD">
      <w:pPr>
        <w:pStyle w:val="Paragraphedeliste"/>
        <w:numPr>
          <w:ilvl w:val="0"/>
          <w:numId w:val="10"/>
        </w:numPr>
      </w:pPr>
      <w:r>
        <w:t>Validation du plan et import du rapport dosimétrique (PDF)) dans Aria</w:t>
      </w:r>
    </w:p>
    <w:p w:rsidR="00814BCD" w:rsidRDefault="00814BCD" w:rsidP="00814BCD">
      <w:pPr>
        <w:pStyle w:val="Paragraphedeliste"/>
        <w:numPr>
          <w:ilvl w:val="0"/>
          <w:numId w:val="10"/>
        </w:numPr>
      </w:pPr>
      <w:r>
        <w:t>Transfert et approbation du plan dans Aria dans patient CQ-NV-TB-E2E-année (créer le patient si inexistant), Course E2E-M-d</w:t>
      </w:r>
    </w:p>
    <w:p w:rsidR="00814BCD" w:rsidRDefault="00814BCD" w:rsidP="00814BCD">
      <w:pPr>
        <w:ind w:left="360"/>
        <w:rPr>
          <w:rStyle w:val="Lienhypertexte"/>
          <w:sz w:val="24"/>
        </w:rPr>
      </w:pPr>
      <w:r>
        <w:t xml:space="preserve">Etalonnage croisé du détecteur : Pour mesurer une dose en Gy, un coefficient d’étalonnage croisé est déterminé pour le détecteur utilisé (Diamant et CI 31010) dans les conditions de </w:t>
      </w:r>
      <w:proofErr w:type="spellStart"/>
      <w:r>
        <w:t>ref</w:t>
      </w:r>
      <w:proofErr w:type="spellEnd"/>
      <w:r>
        <w:t xml:space="preserve"> (</w:t>
      </w:r>
      <w:hyperlink r:id="rId5" w:history="1">
        <w:r w:rsidRPr="001B42DD">
          <w:rPr>
            <w:rStyle w:val="Lienhypertexte"/>
            <w:sz w:val="24"/>
          </w:rPr>
          <w:t>\\keskonrix\Radiophysique\CONTROLES QUALITE\CQ_ACCELERATEURS\CQ_NOVALIS TB\CQ_END_TO_END \Resultats E2E NovalisTB_DOSI.xls</w:t>
        </w:r>
      </w:hyperlink>
      <w:r>
        <w:rPr>
          <w:rStyle w:val="Lienhypertexte"/>
          <w:sz w:val="24"/>
        </w:rPr>
        <w:t>)</w:t>
      </w:r>
    </w:p>
    <w:p w:rsidR="00814BCD" w:rsidRDefault="00814BCD" w:rsidP="00814BCD">
      <w:pPr>
        <w:ind w:left="360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Simulation du traitement :</w:t>
      </w:r>
    </w:p>
    <w:p w:rsidR="00814BCD" w:rsidRDefault="00814BCD" w:rsidP="00814BCD">
      <w:pPr>
        <w:pStyle w:val="Paragraphedeliste"/>
        <w:numPr>
          <w:ilvl w:val="0"/>
          <w:numId w:val="10"/>
        </w:numPr>
      </w:pPr>
      <w:r>
        <w:t>Positionnement du fantôme :</w:t>
      </w:r>
    </w:p>
    <w:p w:rsidR="00814BCD" w:rsidRDefault="00814BCD" w:rsidP="00814BCD">
      <w:pPr>
        <w:pStyle w:val="Paragraphedeliste"/>
        <w:numPr>
          <w:ilvl w:val="1"/>
          <w:numId w:val="10"/>
        </w:numPr>
      </w:pPr>
      <w:r>
        <w:t>Ouvrir le dossier patient en mode traitement</w:t>
      </w:r>
    </w:p>
    <w:p w:rsidR="00814BCD" w:rsidRDefault="00814BCD" w:rsidP="00814BCD">
      <w:pPr>
        <w:pStyle w:val="Paragraphedeliste"/>
        <w:numPr>
          <w:ilvl w:val="1"/>
          <w:numId w:val="10"/>
        </w:numPr>
      </w:pPr>
      <w:r>
        <w:t>Suivre la procédure usuelle de pré-positionnement</w:t>
      </w:r>
    </w:p>
    <w:p w:rsidR="00814BCD" w:rsidRDefault="00814BCD" w:rsidP="00814BCD">
      <w:pPr>
        <w:pStyle w:val="Paragraphedeliste"/>
        <w:numPr>
          <w:ilvl w:val="0"/>
          <w:numId w:val="10"/>
        </w:numPr>
      </w:pPr>
      <w:r>
        <w:t>Traitement avec mesures de doses :</w:t>
      </w:r>
    </w:p>
    <w:p w:rsidR="00814BCD" w:rsidRDefault="00814BCD" w:rsidP="00814BCD">
      <w:pPr>
        <w:pStyle w:val="Paragraphedeliste"/>
        <w:numPr>
          <w:ilvl w:val="1"/>
          <w:numId w:val="10"/>
        </w:numPr>
      </w:pPr>
      <w:r>
        <w:t>Relever les charges mesurées pour chaque arc dans le fichier Excel cité précédemment et calculer les doses correspondantes</w:t>
      </w:r>
    </w:p>
    <w:p w:rsidR="00814BCD" w:rsidRDefault="00814BCD" w:rsidP="00814BCD">
      <w:pPr>
        <w:pStyle w:val="Paragraphedeliste"/>
        <w:numPr>
          <w:ilvl w:val="1"/>
          <w:numId w:val="10"/>
        </w:numPr>
      </w:pPr>
      <w:r>
        <w:t>Fermer le dossier patient</w:t>
      </w:r>
    </w:p>
    <w:p w:rsidR="00814BCD" w:rsidRPr="00814BCD" w:rsidRDefault="00814BCD" w:rsidP="00814BCD">
      <w:r>
        <w:t>Critère d’acceptabilité : Ecart maximal de 5% entre la dose mesurée et la dose attendue (ATTENTION : la présence du détecteur per</w:t>
      </w:r>
      <w:r w:rsidR="0070622E">
        <w:t>t</w:t>
      </w:r>
      <w:r>
        <w:t xml:space="preserve">urbe la mesure (taille du détecteur, masse volumique, orientation) et les facteurs de correction du TRS-483 ne peuvent pas être appliqués </w:t>
      </w:r>
      <w:proofErr w:type="gramStart"/>
      <w:r>
        <w:t>ca</w:t>
      </w:r>
      <w:proofErr w:type="gramEnd"/>
      <w:r>
        <w:t xml:space="preserve"> l’orientation du faisceau est variable pendant l’irradiation.</w:t>
      </w:r>
    </w:p>
    <w:p w:rsidR="00814BCD" w:rsidRPr="00571E4D" w:rsidRDefault="00814BCD" w:rsidP="00814BCD">
      <w:pPr>
        <w:ind w:left="360"/>
      </w:pPr>
    </w:p>
    <w:sectPr w:rsidR="00814BCD" w:rsidRPr="00571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2359"/>
    <w:multiLevelType w:val="hybridMultilevel"/>
    <w:tmpl w:val="EF647930"/>
    <w:lvl w:ilvl="0" w:tplc="E7E6ED6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D7D"/>
    <w:multiLevelType w:val="hybridMultilevel"/>
    <w:tmpl w:val="D84EC930"/>
    <w:lvl w:ilvl="0" w:tplc="09BE2F48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Titre3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02F7"/>
    <w:multiLevelType w:val="multilevel"/>
    <w:tmpl w:val="D16CAD66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0A6A39"/>
    <w:multiLevelType w:val="hybridMultilevel"/>
    <w:tmpl w:val="C5A27C52"/>
    <w:lvl w:ilvl="0" w:tplc="34C6152C">
      <w:start w:val="1"/>
      <w:numFmt w:val="lowerRoman"/>
      <w:lvlText w:val="%1."/>
      <w:lvlJc w:val="right"/>
      <w:pPr>
        <w:ind w:left="1741" w:hanging="360"/>
      </w:p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" w15:restartNumberingAfterBreak="0">
    <w:nsid w:val="68D911BF"/>
    <w:multiLevelType w:val="hybridMultilevel"/>
    <w:tmpl w:val="DF148C14"/>
    <w:lvl w:ilvl="0" w:tplc="DA3E02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20720"/>
    <w:multiLevelType w:val="multilevel"/>
    <w:tmpl w:val="F0FEE54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AE334AE"/>
    <w:multiLevelType w:val="hybridMultilevel"/>
    <w:tmpl w:val="84983950"/>
    <w:lvl w:ilvl="0" w:tplc="7F7E6B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24"/>
    <w:rsid w:val="00083DFE"/>
    <w:rsid w:val="001B14E0"/>
    <w:rsid w:val="00226624"/>
    <w:rsid w:val="00262765"/>
    <w:rsid w:val="003569ED"/>
    <w:rsid w:val="00571E4D"/>
    <w:rsid w:val="0070622E"/>
    <w:rsid w:val="00814BCD"/>
    <w:rsid w:val="00817247"/>
    <w:rsid w:val="00AC74D6"/>
    <w:rsid w:val="00BB1D98"/>
    <w:rsid w:val="00C45C2E"/>
    <w:rsid w:val="00CE6093"/>
    <w:rsid w:val="00D35B38"/>
    <w:rsid w:val="00F1330E"/>
    <w:rsid w:val="00F361B4"/>
    <w:rsid w:val="00F5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CCCB"/>
  <w15:chartTrackingRefBased/>
  <w15:docId w15:val="{5A2FFC65-37D2-4557-9941-8C51CD43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E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45C2E"/>
    <w:pPr>
      <w:keepNext/>
      <w:keepLines/>
      <w:numPr>
        <w:numId w:val="4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7247"/>
    <w:pPr>
      <w:keepNext/>
      <w:keepLines/>
      <w:numPr>
        <w:numId w:val="9"/>
      </w:numPr>
      <w:spacing w:before="120" w:after="120"/>
      <w:outlineLvl w:val="1"/>
    </w:pPr>
    <w:rPr>
      <w:rFonts w:eastAsiaTheme="majorEastAsia" w:cstheme="majorBidi"/>
      <w:color w:val="0D0D0D" w:themeColor="text1" w:themeTint="F2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5C2E"/>
    <w:pPr>
      <w:keepNext/>
      <w:keepLines/>
      <w:numPr>
        <w:ilvl w:val="1"/>
        <w:numId w:val="9"/>
      </w:numPr>
      <w:tabs>
        <w:tab w:val="num" w:pos="720"/>
      </w:tabs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361B4"/>
    <w:pPr>
      <w:keepNext/>
      <w:keepLines/>
      <w:numPr>
        <w:numId w:val="8"/>
      </w:numPr>
      <w:spacing w:before="40" w:after="120"/>
      <w:ind w:left="1740" w:hanging="357"/>
      <w:outlineLvl w:val="3"/>
    </w:pPr>
    <w:rPr>
      <w:rFonts w:eastAsiaTheme="majorEastAsia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7247"/>
    <w:rPr>
      <w:rFonts w:ascii="Times New Roman" w:eastAsiaTheme="majorEastAsia" w:hAnsi="Times New Roman" w:cstheme="majorBidi"/>
      <w:color w:val="0D0D0D" w:themeColor="text1" w:themeTint="F2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45C2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5C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361B4"/>
    <w:rPr>
      <w:rFonts w:ascii="Times New Roman" w:eastAsiaTheme="majorEastAsia" w:hAnsi="Times New Roman" w:cstheme="majorBidi"/>
      <w:i/>
      <w:iCs/>
    </w:rPr>
  </w:style>
  <w:style w:type="paragraph" w:styleId="Paragraphedeliste">
    <w:name w:val="List Paragraph"/>
    <w:basedOn w:val="Normal"/>
    <w:uiPriority w:val="34"/>
    <w:qFormat/>
    <w:rsid w:val="00571E4D"/>
    <w:pPr>
      <w:ind w:left="720"/>
      <w:contextualSpacing/>
    </w:pPr>
  </w:style>
  <w:style w:type="character" w:styleId="Lienhypertexte">
    <w:name w:val="Hyperlink"/>
    <w:basedOn w:val="Policepardfaut"/>
    <w:rsid w:val="00814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keskonrix\Radiophysique\CONTROLES%20QUALITE\CQ_ACCELERATEURS\CQ_NOVALIS%20TB\CQ_END_TO_END%20\Resultats%20E2E%20NovalisTB_DOSI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8</cp:revision>
  <dcterms:created xsi:type="dcterms:W3CDTF">2022-08-22T06:22:00Z</dcterms:created>
  <dcterms:modified xsi:type="dcterms:W3CDTF">2022-08-22T07:14:00Z</dcterms:modified>
</cp:coreProperties>
</file>