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A0" w:rsidRDefault="006D5AA0" w:rsidP="007717C6">
      <w:pPr>
        <w:spacing w:line="360" w:lineRule="auto"/>
        <w:jc w:val="center"/>
        <w:rPr>
          <w:b/>
        </w:rPr>
      </w:pPr>
      <w:r w:rsidRPr="00B038E2">
        <w:rPr>
          <w:b/>
          <w:noProof/>
          <w:lang w:eastAsia="fr-FR"/>
        </w:rPr>
        <w:drawing>
          <wp:inline distT="0" distB="0" distL="0" distR="0">
            <wp:extent cx="1200150" cy="606425"/>
            <wp:effectExtent l="0" t="0" r="0" b="3175"/>
            <wp:docPr id="1" name="Image 1" descr="C:\Users\m-boulanger\AppData\Local\Microsoft\Windows\INetCache\Content.MSO\4B3F9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boulanger\AppData\Local\Microsoft\Windows\INetCache\Content.MSO\4B3F9C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4" t="30734" r="9175" b="27981"/>
                    <a:stretch/>
                  </pic:blipFill>
                  <pic:spPr bwMode="auto">
                    <a:xfrm>
                      <a:off x="0" y="0"/>
                      <a:ext cx="120015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AA0" w:rsidRDefault="006D5AA0" w:rsidP="007717C6">
      <w:pPr>
        <w:spacing w:line="360" w:lineRule="auto"/>
        <w:jc w:val="center"/>
        <w:rPr>
          <w:b/>
        </w:rPr>
      </w:pPr>
    </w:p>
    <w:p w:rsidR="0060214E" w:rsidRPr="004C40A6" w:rsidRDefault="00864A3A" w:rsidP="007717C6">
      <w:pPr>
        <w:spacing w:line="360" w:lineRule="auto"/>
        <w:jc w:val="center"/>
        <w:rPr>
          <w:b/>
          <w:sz w:val="28"/>
        </w:rPr>
      </w:pPr>
      <w:r w:rsidRPr="004C40A6">
        <w:rPr>
          <w:b/>
          <w:sz w:val="28"/>
        </w:rPr>
        <w:t>UE 1.2 : Document de synthèse à partir d’une AMDEC sur la phase d’acceptance</w:t>
      </w:r>
    </w:p>
    <w:p w:rsidR="007C5A9E" w:rsidRPr="007C5A9E" w:rsidRDefault="007C5A9E" w:rsidP="007717C6">
      <w:pPr>
        <w:spacing w:line="360" w:lineRule="auto"/>
        <w:jc w:val="center"/>
        <w:rPr>
          <w:b/>
        </w:rPr>
      </w:pPr>
    </w:p>
    <w:p w:rsidR="00781DB8" w:rsidRPr="004C40A6" w:rsidRDefault="00864A3A" w:rsidP="007717C6">
      <w:pPr>
        <w:spacing w:line="360" w:lineRule="auto"/>
        <w:jc w:val="center"/>
        <w:rPr>
          <w:i/>
          <w:sz w:val="24"/>
        </w:rPr>
      </w:pPr>
      <w:r w:rsidRPr="004C40A6">
        <w:rPr>
          <w:i/>
          <w:sz w:val="24"/>
        </w:rPr>
        <w:t>Etudiante : BOULANGER Marion</w:t>
      </w:r>
    </w:p>
    <w:p w:rsidR="00864A3A" w:rsidRPr="004C40A6" w:rsidRDefault="00864A3A" w:rsidP="007717C6">
      <w:pPr>
        <w:spacing w:line="360" w:lineRule="auto"/>
        <w:jc w:val="center"/>
        <w:rPr>
          <w:i/>
          <w:sz w:val="24"/>
        </w:rPr>
      </w:pPr>
      <w:r w:rsidRPr="004C40A6">
        <w:rPr>
          <w:i/>
          <w:sz w:val="24"/>
        </w:rPr>
        <w:t>Promotion 2021/2023</w:t>
      </w:r>
    </w:p>
    <w:p w:rsidR="00864A3A" w:rsidRDefault="00864A3A" w:rsidP="00EB5BB1">
      <w:pPr>
        <w:spacing w:line="360" w:lineRule="auto"/>
        <w:jc w:val="both"/>
        <w:rPr>
          <w:i/>
        </w:rPr>
      </w:pPr>
    </w:p>
    <w:p w:rsidR="00FD744C" w:rsidRDefault="00FD744C" w:rsidP="00EB5BB1">
      <w:pPr>
        <w:spacing w:line="360" w:lineRule="auto"/>
        <w:jc w:val="both"/>
        <w:rPr>
          <w:i/>
        </w:rPr>
      </w:pPr>
    </w:p>
    <w:p w:rsidR="00FD744C" w:rsidRDefault="00FD744C" w:rsidP="00EB5BB1">
      <w:pPr>
        <w:spacing w:line="360" w:lineRule="auto"/>
        <w:jc w:val="both"/>
        <w:rPr>
          <w:i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4067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744C" w:rsidRDefault="00FD744C" w:rsidP="00EB5BB1">
          <w:pPr>
            <w:pStyle w:val="En-ttedetabledesmatires"/>
            <w:spacing w:line="360" w:lineRule="auto"/>
            <w:jc w:val="both"/>
          </w:pPr>
          <w:r>
            <w:t>Table des matières</w:t>
          </w:r>
        </w:p>
        <w:p w:rsidR="00B45A1D" w:rsidRDefault="00FD74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69518" w:history="1">
            <w:r w:rsidR="00B45A1D" w:rsidRPr="001959C1">
              <w:rPr>
                <w:rStyle w:val="Lienhypertexte"/>
                <w:noProof/>
              </w:rPr>
              <w:t>I.</w:t>
            </w:r>
            <w:r w:rsidR="00B45A1D">
              <w:rPr>
                <w:rFonts w:eastAsiaTheme="minorEastAsia"/>
                <w:noProof/>
                <w:lang w:eastAsia="fr-FR"/>
              </w:rPr>
              <w:tab/>
            </w:r>
            <w:r w:rsidR="00B45A1D" w:rsidRPr="001959C1">
              <w:rPr>
                <w:rStyle w:val="Lienhypertexte"/>
                <w:noProof/>
              </w:rPr>
              <w:t>Méthode AMDEC</w:t>
            </w:r>
            <w:r w:rsidR="00B45A1D">
              <w:rPr>
                <w:noProof/>
                <w:webHidden/>
              </w:rPr>
              <w:tab/>
            </w:r>
            <w:r w:rsidR="00B45A1D">
              <w:rPr>
                <w:noProof/>
                <w:webHidden/>
              </w:rPr>
              <w:fldChar w:fldCharType="begin"/>
            </w:r>
            <w:r w:rsidR="00B45A1D">
              <w:rPr>
                <w:noProof/>
                <w:webHidden/>
              </w:rPr>
              <w:instrText xml:space="preserve"> PAGEREF _Toc129169518 \h </w:instrText>
            </w:r>
            <w:r w:rsidR="00B45A1D">
              <w:rPr>
                <w:noProof/>
                <w:webHidden/>
              </w:rPr>
            </w:r>
            <w:r w:rsidR="00B45A1D">
              <w:rPr>
                <w:noProof/>
                <w:webHidden/>
              </w:rPr>
              <w:fldChar w:fldCharType="separate"/>
            </w:r>
            <w:r w:rsidR="00B45A1D">
              <w:rPr>
                <w:noProof/>
                <w:webHidden/>
              </w:rPr>
              <w:t>2</w:t>
            </w:r>
            <w:r w:rsidR="00B45A1D"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19" w:history="1">
            <w:r w:rsidRPr="001959C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Phase d’acceptance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0" w:history="1">
            <w:r w:rsidRPr="001959C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Risques majeurs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1" w:history="1">
            <w:r w:rsidRPr="001959C1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Plan d’action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2" w:history="1">
            <w:r w:rsidRPr="001959C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Mesures biaisées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3" w:history="1">
            <w:r w:rsidRPr="001959C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Erreur lors de la saisie / transfert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4" w:history="1">
            <w:r w:rsidRPr="001959C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Manque / panne / défaillance d’un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5" w:history="1">
            <w:r w:rsidRPr="001959C1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59C1">
              <w:rPr>
                <w:rStyle w:val="Lienhypertexte"/>
                <w:noProof/>
              </w:rPr>
              <w:t>Eléments à contrôler avant la reprise des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1D" w:rsidRDefault="00B45A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169526" w:history="1">
            <w:r w:rsidRPr="001959C1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4C" w:rsidRDefault="00FD744C" w:rsidP="00EB5BB1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C94B07" w:rsidRPr="003767A0" w:rsidRDefault="00C94B07" w:rsidP="00EB5BB1">
      <w:pPr>
        <w:spacing w:line="360" w:lineRule="auto"/>
        <w:jc w:val="both"/>
      </w:pPr>
      <w:r>
        <w:rPr>
          <w:i/>
        </w:rPr>
        <w:br w:type="page"/>
      </w:r>
    </w:p>
    <w:p w:rsidR="00864A3A" w:rsidRPr="00225326" w:rsidRDefault="00C94B07" w:rsidP="00EB5BB1">
      <w:pPr>
        <w:pStyle w:val="Titre1"/>
        <w:numPr>
          <w:ilvl w:val="0"/>
          <w:numId w:val="1"/>
        </w:numPr>
        <w:spacing w:line="360" w:lineRule="auto"/>
        <w:jc w:val="both"/>
      </w:pPr>
      <w:bookmarkStart w:id="0" w:name="_Toc129169518"/>
      <w:r w:rsidRPr="00225326">
        <w:lastRenderedPageBreak/>
        <w:t>Méthode AMDEC</w:t>
      </w:r>
      <w:bookmarkEnd w:id="0"/>
    </w:p>
    <w:p w:rsidR="00C94B07" w:rsidRDefault="00C94B07" w:rsidP="00EB5BB1">
      <w:pPr>
        <w:spacing w:line="360" w:lineRule="auto"/>
        <w:jc w:val="both"/>
      </w:pPr>
    </w:p>
    <w:p w:rsidR="0066343E" w:rsidRDefault="00E441C5" w:rsidP="00EB5BB1">
      <w:pPr>
        <w:spacing w:line="360" w:lineRule="auto"/>
        <w:jc w:val="both"/>
      </w:pPr>
      <w:r>
        <w:t>La méthode AMDEC signifie Analyse des Défaillances, de leurs Effets et de leur Criticité</w:t>
      </w:r>
      <w:r w:rsidR="001A0AB5">
        <w:t xml:space="preserve">. Elle consiste à analyser les défaillances, leurs causes et leurs effets. </w:t>
      </w:r>
      <w:r w:rsidR="00B2456B">
        <w:t xml:space="preserve">Cette méthode est présentée dans le guide n°4 de l’ASN </w:t>
      </w:r>
      <w:r w:rsidR="00B2456B" w:rsidRPr="00B2456B">
        <w:rPr>
          <w:color w:val="2F5496" w:themeColor="accent5" w:themeShade="BF"/>
        </w:rPr>
        <w:t>[1]</w:t>
      </w:r>
      <w:r w:rsidR="00B2456B">
        <w:t xml:space="preserve">. </w:t>
      </w:r>
      <w:r w:rsidR="00E537EC">
        <w:t xml:space="preserve">Les défaillances sont classées en fonction de leur criticité. Celle-ci </w:t>
      </w:r>
      <w:r w:rsidR="0066343E">
        <w:t>est évaluée par le produit de la fréquence, la gravité et la détectabilité.</w:t>
      </w:r>
    </w:p>
    <w:p w:rsidR="0066343E" w:rsidRDefault="0066343E" w:rsidP="0032212D">
      <w:pPr>
        <w:spacing w:line="360" w:lineRule="auto"/>
        <w:jc w:val="center"/>
        <w:rPr>
          <w:i/>
        </w:rPr>
      </w:pPr>
      <w:r w:rsidRPr="0066343E">
        <w:rPr>
          <w:i/>
        </w:rPr>
        <w:t>C = F x G x D</w:t>
      </w:r>
    </w:p>
    <w:p w:rsidR="00C05F66" w:rsidRPr="0066343E" w:rsidRDefault="00712554" w:rsidP="00EB5BB1">
      <w:pPr>
        <w:spacing w:line="360" w:lineRule="auto"/>
        <w:jc w:val="both"/>
      </w:pPr>
      <w:r>
        <w:t>Plus le produit de ces trois éléments est grand, plus le mode de défaillance est critique.</w:t>
      </w:r>
      <w:r w:rsidR="00C05F66">
        <w:t xml:space="preserve"> Cette méthode permet de prévoir les risques et d’engager des actions préventives.  </w:t>
      </w:r>
    </w:p>
    <w:p w:rsidR="001A0AB5" w:rsidRPr="00225326" w:rsidRDefault="001A0AB5" w:rsidP="00EB5BB1">
      <w:pPr>
        <w:spacing w:line="360" w:lineRule="auto"/>
        <w:jc w:val="both"/>
      </w:pPr>
    </w:p>
    <w:p w:rsidR="00C94B07" w:rsidRPr="00225326" w:rsidRDefault="00C94B07" w:rsidP="00EB5BB1">
      <w:pPr>
        <w:pStyle w:val="Titre1"/>
        <w:numPr>
          <w:ilvl w:val="0"/>
          <w:numId w:val="1"/>
        </w:numPr>
        <w:spacing w:line="360" w:lineRule="auto"/>
        <w:jc w:val="both"/>
      </w:pPr>
      <w:bookmarkStart w:id="1" w:name="_Toc129169519"/>
      <w:r w:rsidRPr="00225326">
        <w:t>Phase d’acceptance</w:t>
      </w:r>
      <w:bookmarkEnd w:id="1"/>
    </w:p>
    <w:p w:rsidR="00C94B07" w:rsidRDefault="00C94B07" w:rsidP="00EB5BB1">
      <w:pPr>
        <w:spacing w:line="360" w:lineRule="auto"/>
        <w:jc w:val="both"/>
      </w:pPr>
    </w:p>
    <w:p w:rsidR="001F4296" w:rsidRDefault="00D911C3" w:rsidP="00EB5BB1">
      <w:pPr>
        <w:spacing w:line="360" w:lineRule="auto"/>
        <w:jc w:val="both"/>
      </w:pPr>
      <w:r>
        <w:t>La phase d’acceptance s’effectue après l’installation de l’appareil de traitement. Celle-ci permet de vérifier la conformité du matériel par rapport aux spécifications prévues</w:t>
      </w:r>
      <w:r w:rsidR="00AD7FB4">
        <w:t xml:space="preserve"> </w:t>
      </w:r>
      <w:r w:rsidR="00B2456B">
        <w:rPr>
          <w:color w:val="2F5496" w:themeColor="accent5" w:themeShade="BF"/>
        </w:rPr>
        <w:t>[2</w:t>
      </w:r>
      <w:r w:rsidR="00AD7FB4" w:rsidRPr="00AD7FB4">
        <w:rPr>
          <w:color w:val="2F5496" w:themeColor="accent5" w:themeShade="BF"/>
        </w:rPr>
        <w:t>]</w:t>
      </w:r>
      <w:r>
        <w:t>.</w:t>
      </w:r>
      <w:r w:rsidR="00F27F54">
        <w:t xml:space="preserve"> Les tests d’acceptance sont répartis en quatre catégories : tests des dispositifs de sécurité, tests mécaniques, tests dosimétriques et tests des communications informatiques entre les différents éléments de la chaîne de radiothérapie. Après la signature</w:t>
      </w:r>
      <w:r w:rsidR="000929A4">
        <w:t xml:space="preserve"> du </w:t>
      </w:r>
      <w:r w:rsidR="00B500B9">
        <w:t>procès-verbal</w:t>
      </w:r>
      <w:r w:rsidR="00F27F54">
        <w:t xml:space="preserve">, la propriété de l’équipement est transférée du fournisseur à l’acheteur et la période de garantie peut ainsi commencer </w:t>
      </w:r>
      <w:r w:rsidR="00B2456B">
        <w:rPr>
          <w:color w:val="2F5496" w:themeColor="accent5" w:themeShade="BF"/>
        </w:rPr>
        <w:t>[3</w:t>
      </w:r>
      <w:r w:rsidR="00F27F54" w:rsidRPr="00F27F54">
        <w:rPr>
          <w:color w:val="2F5496" w:themeColor="accent5" w:themeShade="BF"/>
        </w:rPr>
        <w:t>]</w:t>
      </w:r>
      <w:r w:rsidR="00F27F54">
        <w:t xml:space="preserve">. </w:t>
      </w:r>
      <w:r w:rsidR="005A6596">
        <w:t xml:space="preserve">Les résultats des tests d’acceptance représentent les performances nominales de l’appareil installé, que le fournisseur s'engage à maintenir durant la garantie ainsi que durant toute la période de maintenance </w:t>
      </w:r>
      <w:r w:rsidR="00B2456B">
        <w:rPr>
          <w:color w:val="2F5496" w:themeColor="accent5" w:themeShade="BF"/>
        </w:rPr>
        <w:t>[4</w:t>
      </w:r>
      <w:r w:rsidR="005A6596" w:rsidRPr="005A6596">
        <w:rPr>
          <w:color w:val="2F5496" w:themeColor="accent5" w:themeShade="BF"/>
        </w:rPr>
        <w:t>]</w:t>
      </w:r>
      <w:r w:rsidR="005A6596">
        <w:t>.</w:t>
      </w:r>
    </w:p>
    <w:p w:rsidR="00193CA2" w:rsidRPr="00225326" w:rsidRDefault="00193CA2" w:rsidP="00EB5BB1">
      <w:pPr>
        <w:spacing w:line="360" w:lineRule="auto"/>
        <w:jc w:val="both"/>
      </w:pPr>
    </w:p>
    <w:p w:rsidR="00C94B07" w:rsidRDefault="00887451" w:rsidP="00EB5BB1">
      <w:pPr>
        <w:pStyle w:val="Titre1"/>
        <w:numPr>
          <w:ilvl w:val="0"/>
          <w:numId w:val="1"/>
        </w:numPr>
        <w:spacing w:line="360" w:lineRule="auto"/>
        <w:jc w:val="both"/>
      </w:pPr>
      <w:bookmarkStart w:id="2" w:name="_Toc129169520"/>
      <w:r w:rsidRPr="00225326">
        <w:t>Risques majeurs</w:t>
      </w:r>
      <w:bookmarkEnd w:id="2"/>
    </w:p>
    <w:p w:rsidR="00193CA2" w:rsidRDefault="00193CA2" w:rsidP="00EB5BB1">
      <w:pPr>
        <w:spacing w:line="360" w:lineRule="auto"/>
        <w:jc w:val="both"/>
      </w:pPr>
    </w:p>
    <w:p w:rsidR="000211EB" w:rsidRDefault="00E441C5" w:rsidP="00EB5BB1">
      <w:pPr>
        <w:spacing w:line="360" w:lineRule="auto"/>
        <w:jc w:val="both"/>
      </w:pPr>
      <w:r>
        <w:t>Trois étapes font partie</w:t>
      </w:r>
      <w:r w:rsidR="001D7454">
        <w:t>s</w:t>
      </w:r>
      <w:r>
        <w:t xml:space="preserve"> de la phase d’acceptance : mesures, validation et signature. </w:t>
      </w:r>
      <w:r w:rsidR="00B26492">
        <w:t xml:space="preserve">Ainsi, les risques </w:t>
      </w:r>
      <w:r w:rsidR="00274343">
        <w:t xml:space="preserve">sont décrits dans le tableau suivant. Les trois risques majeurs, c’est-à-dire ceux ayant l’indice de criticité résiduelle les plus élevés, sont entourés en rouge dans ce tableau. </w:t>
      </w:r>
      <w:r w:rsidR="00361494">
        <w:t>Les critères utilisés pour décrire la fréquence, la gravité et la détectabilité sont décrits sous le tableau.</w:t>
      </w:r>
    </w:p>
    <w:p w:rsidR="000211EB" w:rsidRDefault="000211EB" w:rsidP="00EB5BB1">
      <w:pPr>
        <w:jc w:val="both"/>
        <w:sectPr w:rsidR="000211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auListe6Couleur-Accentuation3"/>
        <w:tblW w:w="15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1264"/>
        <w:gridCol w:w="982"/>
        <w:gridCol w:w="1404"/>
        <w:gridCol w:w="982"/>
        <w:gridCol w:w="3791"/>
        <w:gridCol w:w="1393"/>
        <w:gridCol w:w="880"/>
        <w:gridCol w:w="1383"/>
        <w:gridCol w:w="1155"/>
      </w:tblGrid>
      <w:tr w:rsidR="00B514A9" w:rsidRPr="009C5107" w:rsidTr="001D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lastRenderedPageBreak/>
              <w:t>Risque / défaillance</w:t>
            </w:r>
          </w:p>
        </w:tc>
        <w:tc>
          <w:tcPr>
            <w:tcW w:w="1264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Fréquence</w:t>
            </w:r>
          </w:p>
        </w:tc>
        <w:tc>
          <w:tcPr>
            <w:tcW w:w="982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Gravité</w:t>
            </w:r>
          </w:p>
        </w:tc>
        <w:tc>
          <w:tcPr>
            <w:tcW w:w="1404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bCs w:val="0"/>
                <w:color w:val="4472C4" w:themeColor="accent5"/>
                <w:sz w:val="20"/>
                <w:szCs w:val="18"/>
              </w:rPr>
              <w:t>Détectabilité</w:t>
            </w:r>
          </w:p>
        </w:tc>
        <w:tc>
          <w:tcPr>
            <w:tcW w:w="982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Criticité</w:t>
            </w:r>
          </w:p>
        </w:tc>
        <w:tc>
          <w:tcPr>
            <w:tcW w:w="3791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Actions correctives</w:t>
            </w:r>
          </w:p>
        </w:tc>
        <w:tc>
          <w:tcPr>
            <w:tcW w:w="1393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Fréquence</w:t>
            </w:r>
          </w:p>
        </w:tc>
        <w:tc>
          <w:tcPr>
            <w:tcW w:w="880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Gravité</w:t>
            </w:r>
          </w:p>
        </w:tc>
        <w:tc>
          <w:tcPr>
            <w:tcW w:w="1383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bCs w:val="0"/>
                <w:color w:val="4472C4" w:themeColor="accent5"/>
                <w:sz w:val="20"/>
                <w:szCs w:val="18"/>
              </w:rPr>
              <w:t>Détectabilité</w:t>
            </w:r>
          </w:p>
        </w:tc>
        <w:tc>
          <w:tcPr>
            <w:tcW w:w="1155" w:type="dxa"/>
            <w:tcBorders>
              <w:bottom w:val="none" w:sz="0" w:space="0" w:color="auto"/>
            </w:tcBorders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5"/>
                <w:sz w:val="20"/>
                <w:szCs w:val="18"/>
              </w:rPr>
            </w:pPr>
            <w:r w:rsidRPr="009C5107">
              <w:rPr>
                <w:rFonts w:cstheme="minorHAnsi"/>
                <w:color w:val="4472C4" w:themeColor="accent5"/>
                <w:sz w:val="20"/>
                <w:szCs w:val="18"/>
              </w:rPr>
              <w:t>Criticité résiduelle</w:t>
            </w:r>
          </w:p>
        </w:tc>
      </w:tr>
      <w:tr w:rsidR="001D4456" w:rsidRPr="009C5107" w:rsidTr="001D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585676" w:rsidRPr="008D5BB6" w:rsidRDefault="00585676" w:rsidP="001D4456">
            <w:pPr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b w:val="0"/>
                <w:color w:val="auto"/>
                <w:sz w:val="18"/>
                <w:szCs w:val="18"/>
              </w:rPr>
              <w:t>Réduction du temps consacré à l’acceptance dû à un retard de planning</w:t>
            </w:r>
          </w:p>
        </w:tc>
        <w:tc>
          <w:tcPr>
            <w:tcW w:w="1264" w:type="dxa"/>
            <w:vAlign w:val="center"/>
          </w:tcPr>
          <w:p w:rsidR="00585676" w:rsidRPr="008D5BB6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585676" w:rsidRPr="008D5BB6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404" w:type="dxa"/>
            <w:vAlign w:val="center"/>
          </w:tcPr>
          <w:p w:rsidR="00585676" w:rsidRPr="008D5BB6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585676" w:rsidRPr="008D5BB6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12</w:t>
            </w:r>
          </w:p>
        </w:tc>
        <w:tc>
          <w:tcPr>
            <w:tcW w:w="3791" w:type="dxa"/>
            <w:vAlign w:val="center"/>
          </w:tcPr>
          <w:p w:rsidR="00585676" w:rsidRPr="008D5BB6" w:rsidRDefault="00934E3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Prévoir du temps supplémentaire lors de la réalisation du planning prévisionnel</w:t>
            </w:r>
          </w:p>
        </w:tc>
        <w:tc>
          <w:tcPr>
            <w:tcW w:w="1393" w:type="dxa"/>
            <w:vAlign w:val="center"/>
          </w:tcPr>
          <w:p w:rsidR="00585676" w:rsidRPr="008D5BB6" w:rsidRDefault="000E51A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880" w:type="dxa"/>
            <w:vAlign w:val="center"/>
          </w:tcPr>
          <w:p w:rsidR="00585676" w:rsidRPr="008D5BB6" w:rsidRDefault="000E51A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585676" w:rsidRPr="008D5BB6" w:rsidRDefault="000E51A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585676" w:rsidRPr="008D5BB6" w:rsidRDefault="000E51A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58290A">
              <w:rPr>
                <w:rFonts w:cstheme="minorHAnsi"/>
                <w:color w:val="auto"/>
                <w:sz w:val="18"/>
                <w:szCs w:val="18"/>
              </w:rPr>
              <w:t>12</w:t>
            </w:r>
          </w:p>
        </w:tc>
      </w:tr>
      <w:tr w:rsidR="00B514A9" w:rsidRPr="009C5107" w:rsidTr="001D445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Irradiation d’un personnel dans la salle de traitement</w:t>
            </w:r>
          </w:p>
        </w:tc>
        <w:tc>
          <w:tcPr>
            <w:tcW w:w="1264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404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9</w:t>
            </w:r>
          </w:p>
        </w:tc>
        <w:tc>
          <w:tcPr>
            <w:tcW w:w="3791" w:type="dxa"/>
            <w:vAlign w:val="center"/>
          </w:tcPr>
          <w:p w:rsidR="006F7EDF" w:rsidRPr="009C5107" w:rsidRDefault="006F7EDF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Vérifier le bon fonctionnement des signaux lumineux / sonores / fermeture porte</w:t>
            </w:r>
          </w:p>
          <w:p w:rsidR="000E51A6" w:rsidRPr="009C5107" w:rsidRDefault="000E51A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Vérifier que la salle est vide avant chaque début de faisceau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880" w:type="dxa"/>
            <w:vAlign w:val="center"/>
          </w:tcPr>
          <w:p w:rsidR="006F7EDF" w:rsidRPr="009C5107" w:rsidRDefault="000E51A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6F7EDF" w:rsidRPr="009C5107" w:rsidRDefault="0018423C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  <w:tr w:rsidR="001D4456" w:rsidRPr="009C5107" w:rsidTr="001D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Irradiation d’un personnel au pupitre</w:t>
            </w:r>
          </w:p>
        </w:tc>
        <w:tc>
          <w:tcPr>
            <w:tcW w:w="1264" w:type="dxa"/>
            <w:vAlign w:val="center"/>
          </w:tcPr>
          <w:p w:rsidR="006F7EDF" w:rsidRPr="009C5107" w:rsidRDefault="00044371" w:rsidP="001D445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404" w:type="dxa"/>
            <w:vAlign w:val="center"/>
          </w:tcPr>
          <w:p w:rsidR="006F7EDF" w:rsidRPr="009C5107" w:rsidRDefault="009A3C0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  <w:tc>
          <w:tcPr>
            <w:tcW w:w="982" w:type="dxa"/>
            <w:vAlign w:val="center"/>
          </w:tcPr>
          <w:p w:rsidR="006F7EDF" w:rsidRPr="009C5107" w:rsidRDefault="00D60D28" w:rsidP="001D445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12</w:t>
            </w:r>
          </w:p>
        </w:tc>
        <w:tc>
          <w:tcPr>
            <w:tcW w:w="3791" w:type="dxa"/>
            <w:vAlign w:val="center"/>
          </w:tcPr>
          <w:p w:rsidR="006F7EDF" w:rsidRPr="009C5107" w:rsidRDefault="00F6605D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Vérifier le</w:t>
            </w:r>
            <w:r w:rsidR="006F7EDF" w:rsidRPr="009C5107">
              <w:rPr>
                <w:rFonts w:cstheme="minorHAnsi"/>
                <w:color w:val="auto"/>
                <w:sz w:val="18"/>
                <w:szCs w:val="18"/>
              </w:rPr>
              <w:t xml:space="preserve"> rayonnement de fuite à travers les parois</w:t>
            </w:r>
            <w:r w:rsidR="009A3C06" w:rsidRPr="009C5107">
              <w:rPr>
                <w:rFonts w:cstheme="minorHAnsi"/>
                <w:color w:val="auto"/>
                <w:sz w:val="18"/>
                <w:szCs w:val="18"/>
              </w:rPr>
              <w:t xml:space="preserve"> lors des premiers tirs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880" w:type="dxa"/>
            <w:vAlign w:val="center"/>
          </w:tcPr>
          <w:p w:rsidR="006F7EDF" w:rsidRPr="009C5107" w:rsidRDefault="00F90440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6F7EDF" w:rsidRPr="009C5107" w:rsidRDefault="009A3C0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6F7EDF" w:rsidRPr="009C5107" w:rsidRDefault="00F90440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  <w:tr w:rsidR="00B514A9" w:rsidRPr="009C5107" w:rsidTr="001D4456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Coupure, brulure, électrisation</w:t>
            </w:r>
          </w:p>
        </w:tc>
        <w:tc>
          <w:tcPr>
            <w:tcW w:w="1264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1404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3791" w:type="dxa"/>
            <w:vAlign w:val="center"/>
          </w:tcPr>
          <w:p w:rsidR="0015147B" w:rsidRPr="009C5107" w:rsidRDefault="006F7EDF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Vérifier le bon état de l’outillage, la présence des EPI</w:t>
            </w:r>
          </w:p>
          <w:p w:rsidR="00174451" w:rsidRPr="009C5107" w:rsidRDefault="00174451" w:rsidP="009C5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 xml:space="preserve">Vérifier la validité </w:t>
            </w:r>
            <w:r w:rsidR="009C5107">
              <w:rPr>
                <w:rFonts w:cstheme="minorHAnsi"/>
                <w:color w:val="auto"/>
                <w:sz w:val="18"/>
                <w:szCs w:val="18"/>
              </w:rPr>
              <w:t>de l’habilitation électrique de l’ingénieur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880" w:type="dxa"/>
            <w:vAlign w:val="center"/>
          </w:tcPr>
          <w:p w:rsidR="006F7EDF" w:rsidRPr="009C5107" w:rsidRDefault="00F90440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1383" w:type="dxa"/>
            <w:vAlign w:val="center"/>
          </w:tcPr>
          <w:p w:rsidR="00FB4263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6F7EDF" w:rsidRPr="009C5107" w:rsidRDefault="00F90440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</w:tr>
      <w:tr w:rsidR="001D4456" w:rsidRPr="009C5107" w:rsidTr="001D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9E446E" w:rsidRPr="009C5107" w:rsidRDefault="009E446E" w:rsidP="001D4456">
            <w:pPr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Intrusion personne / interruption de tâche</w:t>
            </w:r>
          </w:p>
        </w:tc>
        <w:tc>
          <w:tcPr>
            <w:tcW w:w="1264" w:type="dxa"/>
            <w:vAlign w:val="center"/>
          </w:tcPr>
          <w:p w:rsidR="009E446E" w:rsidRPr="009C5107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9E446E" w:rsidRPr="009C5107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1404" w:type="dxa"/>
            <w:vAlign w:val="center"/>
          </w:tcPr>
          <w:p w:rsidR="009E446E" w:rsidRPr="009C5107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9E446E" w:rsidRPr="009C5107" w:rsidRDefault="009E446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9</w:t>
            </w:r>
          </w:p>
        </w:tc>
        <w:tc>
          <w:tcPr>
            <w:tcW w:w="3791" w:type="dxa"/>
            <w:vAlign w:val="center"/>
          </w:tcPr>
          <w:p w:rsidR="009E446E" w:rsidRPr="009C5107" w:rsidRDefault="00376883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Rappeler les bonnes pratiques au personnel</w:t>
            </w:r>
          </w:p>
          <w:p w:rsidR="00376883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Mettre en place une signalétique</w:t>
            </w:r>
          </w:p>
        </w:tc>
        <w:tc>
          <w:tcPr>
            <w:tcW w:w="1393" w:type="dxa"/>
            <w:vAlign w:val="center"/>
          </w:tcPr>
          <w:p w:rsidR="009E446E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880" w:type="dxa"/>
            <w:vAlign w:val="center"/>
          </w:tcPr>
          <w:p w:rsidR="009E446E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1383" w:type="dxa"/>
            <w:vAlign w:val="center"/>
          </w:tcPr>
          <w:p w:rsidR="009E446E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9E446E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  <w:tr w:rsidR="009E446E" w:rsidRPr="009C5107" w:rsidTr="001D445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1D7454" w:rsidP="001D4456">
            <w:pPr>
              <w:spacing w:after="160" w:line="259" w:lineRule="auto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>
              <w:rPr>
                <w:rFonts w:cstheme="minorHAnsi"/>
                <w:noProof/>
                <w:color w:val="auto"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-3175</wp:posOffset>
                      </wp:positionV>
                      <wp:extent cx="10086975" cy="1457325"/>
                      <wp:effectExtent l="0" t="0" r="28575" b="28575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6975" cy="14573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54EBEF" id="Rectangle à coins arrondis 2" o:spid="_x0000_s1026" style="position:absolute;margin-left:-4.4pt;margin-top:-.25pt;width:794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6F7EDF" w:rsidRPr="009C5107">
              <w:rPr>
                <w:rFonts w:cstheme="minorHAnsi"/>
                <w:color w:val="auto"/>
                <w:sz w:val="18"/>
                <w:szCs w:val="18"/>
              </w:rPr>
              <w:t>Mesures biaisées (problème étalonnage chambres)</w:t>
            </w:r>
          </w:p>
        </w:tc>
        <w:tc>
          <w:tcPr>
            <w:tcW w:w="1264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1404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24</w:t>
            </w:r>
          </w:p>
        </w:tc>
        <w:tc>
          <w:tcPr>
            <w:tcW w:w="3791" w:type="dxa"/>
            <w:vAlign w:val="center"/>
          </w:tcPr>
          <w:p w:rsidR="006F7EDF" w:rsidRPr="009C5107" w:rsidRDefault="006F7EDF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Vérifier l’étalonnage des chambres au préalable</w:t>
            </w:r>
          </w:p>
          <w:p w:rsidR="006F7EDF" w:rsidRPr="009C5107" w:rsidRDefault="006F7EDF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Effectuer les mesures avec plusieurs chambres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880" w:type="dxa"/>
            <w:vAlign w:val="center"/>
          </w:tcPr>
          <w:p w:rsidR="006F7EDF" w:rsidRPr="009C5107" w:rsidRDefault="00230FF0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1155" w:type="dxa"/>
            <w:vAlign w:val="center"/>
          </w:tcPr>
          <w:p w:rsidR="006F7EDF" w:rsidRPr="009C5107" w:rsidRDefault="00230FF0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4472C4" w:themeColor="accent5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4472C4" w:themeColor="accent5"/>
                <w:sz w:val="18"/>
                <w:szCs w:val="18"/>
              </w:rPr>
              <w:t>24</w:t>
            </w:r>
          </w:p>
        </w:tc>
      </w:tr>
      <w:tr w:rsidR="009C5107" w:rsidRPr="009C5107" w:rsidTr="001D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9C5107" w:rsidRPr="008D5BB6" w:rsidRDefault="009C5107" w:rsidP="001D4456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8D5BB6">
              <w:rPr>
                <w:rFonts w:cstheme="minorHAnsi"/>
                <w:color w:val="auto"/>
                <w:sz w:val="18"/>
                <w:szCs w:val="18"/>
              </w:rPr>
              <w:t>Erreur lors de la saisie / transfert des données</w:t>
            </w:r>
          </w:p>
        </w:tc>
        <w:tc>
          <w:tcPr>
            <w:tcW w:w="1264" w:type="dxa"/>
            <w:vAlign w:val="center"/>
          </w:tcPr>
          <w:p w:rsidR="009C5107" w:rsidRPr="009C5107" w:rsidRDefault="009C5107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9C5107" w:rsidRPr="009C5107" w:rsidRDefault="009C5107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1404" w:type="dxa"/>
            <w:vAlign w:val="center"/>
          </w:tcPr>
          <w:p w:rsidR="009C5107" w:rsidRPr="009C5107" w:rsidRDefault="009C5107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982" w:type="dxa"/>
            <w:vAlign w:val="center"/>
          </w:tcPr>
          <w:p w:rsidR="009C5107" w:rsidRPr="009C5107" w:rsidRDefault="009C5107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36</w:t>
            </w:r>
          </w:p>
        </w:tc>
        <w:tc>
          <w:tcPr>
            <w:tcW w:w="3791" w:type="dxa"/>
            <w:vAlign w:val="center"/>
          </w:tcPr>
          <w:p w:rsidR="009C5107" w:rsidRPr="009C5107" w:rsidRDefault="009C5107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Limiter les interruptions de tâche</w:t>
            </w:r>
          </w:p>
          <w:p w:rsidR="009C5107" w:rsidRPr="009C5107" w:rsidRDefault="009C5107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 xml:space="preserve">Vérifier les valeurs saisies par un deuxième physicien ou </w:t>
            </w:r>
            <w:r w:rsidR="008D5BB6">
              <w:rPr>
                <w:rFonts w:cstheme="minorHAnsi"/>
                <w:b/>
                <w:color w:val="auto"/>
                <w:sz w:val="18"/>
                <w:szCs w:val="18"/>
              </w:rPr>
              <w:t>l’ingénieur</w:t>
            </w:r>
          </w:p>
        </w:tc>
        <w:tc>
          <w:tcPr>
            <w:tcW w:w="1393" w:type="dxa"/>
            <w:vAlign w:val="center"/>
          </w:tcPr>
          <w:p w:rsidR="009C5107" w:rsidRPr="009C5107" w:rsidRDefault="0058290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880" w:type="dxa"/>
            <w:vAlign w:val="center"/>
          </w:tcPr>
          <w:p w:rsidR="009C5107" w:rsidRPr="009C5107" w:rsidRDefault="008D5BB6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>
              <w:rPr>
                <w:rFonts w:cstheme="minorHAns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1383" w:type="dxa"/>
            <w:vAlign w:val="center"/>
          </w:tcPr>
          <w:p w:rsidR="009C5107" w:rsidRPr="009C5107" w:rsidRDefault="0058290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>
              <w:rPr>
                <w:rFonts w:cstheme="minorHAns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9C5107" w:rsidRPr="009C5107" w:rsidRDefault="0058290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b/>
                <w:color w:val="4472C4" w:themeColor="accent5"/>
                <w:sz w:val="18"/>
                <w:szCs w:val="18"/>
              </w:rPr>
              <w:t>18</w:t>
            </w:r>
          </w:p>
        </w:tc>
      </w:tr>
      <w:tr w:rsidR="001D4456" w:rsidRPr="009C5107" w:rsidTr="001D445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Manque / panne</w:t>
            </w:r>
            <w:r w:rsidR="00127426" w:rsidRPr="009C5107">
              <w:rPr>
                <w:rFonts w:cstheme="minorHAnsi"/>
                <w:color w:val="auto"/>
                <w:sz w:val="18"/>
                <w:szCs w:val="18"/>
              </w:rPr>
              <w:t xml:space="preserve"> / défaillance</w:t>
            </w:r>
            <w:r w:rsidRPr="009C5107">
              <w:rPr>
                <w:rFonts w:cstheme="minorHAnsi"/>
                <w:color w:val="auto"/>
                <w:sz w:val="18"/>
                <w:szCs w:val="18"/>
              </w:rPr>
              <w:t xml:space="preserve"> d’un matériel de mesures (cuve, chambres, ordinateur, logiciel)</w:t>
            </w:r>
          </w:p>
        </w:tc>
        <w:tc>
          <w:tcPr>
            <w:tcW w:w="1264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1404" w:type="dxa"/>
            <w:vAlign w:val="center"/>
          </w:tcPr>
          <w:p w:rsidR="006F7EDF" w:rsidRPr="009C5107" w:rsidRDefault="00607D42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982" w:type="dxa"/>
            <w:vAlign w:val="center"/>
          </w:tcPr>
          <w:p w:rsidR="006F7EDF" w:rsidRPr="009C5107" w:rsidRDefault="00607D42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36</w:t>
            </w:r>
          </w:p>
        </w:tc>
        <w:tc>
          <w:tcPr>
            <w:tcW w:w="3791" w:type="dxa"/>
            <w:vAlign w:val="center"/>
          </w:tcPr>
          <w:p w:rsidR="006F7EDF" w:rsidRPr="009C5107" w:rsidRDefault="005E6BE4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Vérifier</w:t>
            </w:r>
            <w:r w:rsidR="006F7EDF" w:rsidRPr="009C5107">
              <w:rPr>
                <w:rFonts w:cstheme="minorHAnsi"/>
                <w:b/>
                <w:color w:val="auto"/>
                <w:sz w:val="18"/>
                <w:szCs w:val="18"/>
              </w:rPr>
              <w:t xml:space="preserve"> la check-list du matériel avant l’acceptance</w:t>
            </w:r>
          </w:p>
          <w:p w:rsidR="00127426" w:rsidRPr="009C5107" w:rsidRDefault="0012742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Avoir à disposition du matériel de rechange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880" w:type="dxa"/>
            <w:vAlign w:val="center"/>
          </w:tcPr>
          <w:p w:rsidR="006F7EDF" w:rsidRPr="009C5107" w:rsidRDefault="00230FF0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6F7EDF" w:rsidRPr="009C5107" w:rsidRDefault="00230FF0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4472C4" w:themeColor="accent5"/>
                <w:sz w:val="18"/>
                <w:szCs w:val="18"/>
              </w:rPr>
            </w:pPr>
            <w:r w:rsidRPr="009C5107">
              <w:rPr>
                <w:rFonts w:cstheme="minorHAnsi"/>
                <w:b/>
                <w:color w:val="4472C4" w:themeColor="accent5"/>
                <w:sz w:val="18"/>
                <w:szCs w:val="18"/>
              </w:rPr>
              <w:t>12</w:t>
            </w:r>
          </w:p>
        </w:tc>
      </w:tr>
      <w:tr w:rsidR="009C5107" w:rsidRPr="009C5107" w:rsidTr="001D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DE7196" w:rsidRPr="009C5107" w:rsidRDefault="00DE7196" w:rsidP="001D4456">
            <w:pPr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Défaillance mécanique (matériel mal accroché, chute de vis, rupture de chaîne)</w:t>
            </w:r>
          </w:p>
        </w:tc>
        <w:tc>
          <w:tcPr>
            <w:tcW w:w="1264" w:type="dxa"/>
            <w:vAlign w:val="center"/>
          </w:tcPr>
          <w:p w:rsidR="00DE7196" w:rsidRPr="009C5107" w:rsidRDefault="00E87CD9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DE7196" w:rsidRPr="009C5107" w:rsidRDefault="00E87CD9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404" w:type="dxa"/>
            <w:vAlign w:val="center"/>
          </w:tcPr>
          <w:p w:rsidR="00DE7196" w:rsidRPr="009C5107" w:rsidRDefault="00E87CD9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DE7196" w:rsidRPr="009C5107" w:rsidRDefault="00E87CD9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12</w:t>
            </w:r>
          </w:p>
        </w:tc>
        <w:tc>
          <w:tcPr>
            <w:tcW w:w="3791" w:type="dxa"/>
            <w:vAlign w:val="center"/>
          </w:tcPr>
          <w:p w:rsidR="00DE7196" w:rsidRPr="009C5107" w:rsidRDefault="004F1231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Vérifier les mouvements mécaniques de l’appareil pendant la phase d’installation</w:t>
            </w:r>
          </w:p>
        </w:tc>
        <w:tc>
          <w:tcPr>
            <w:tcW w:w="1393" w:type="dxa"/>
            <w:vAlign w:val="center"/>
          </w:tcPr>
          <w:p w:rsidR="00230FF0" w:rsidRPr="009C5107" w:rsidRDefault="00230FF0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880" w:type="dxa"/>
            <w:vAlign w:val="center"/>
          </w:tcPr>
          <w:p w:rsidR="00DE7196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DE7196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DE7196" w:rsidRPr="009C5107" w:rsidRDefault="0015702C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  <w:tr w:rsidR="001D4456" w:rsidRPr="009C5107" w:rsidTr="001D4456">
        <w:trPr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Appareil de traitement n’atteint pas les performances décrites dans le cahier des charges</w:t>
            </w:r>
          </w:p>
        </w:tc>
        <w:tc>
          <w:tcPr>
            <w:tcW w:w="1264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404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12</w:t>
            </w:r>
          </w:p>
        </w:tc>
        <w:tc>
          <w:tcPr>
            <w:tcW w:w="3791" w:type="dxa"/>
            <w:vAlign w:val="center"/>
          </w:tcPr>
          <w:p w:rsidR="006F7EDF" w:rsidRPr="009C5107" w:rsidRDefault="0012742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L’appareil est contrôlé en sortie d’usine</w:t>
            </w:r>
          </w:p>
          <w:p w:rsidR="00127426" w:rsidRPr="009C5107" w:rsidRDefault="0012742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Communication avec le transport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880" w:type="dxa"/>
            <w:vAlign w:val="center"/>
          </w:tcPr>
          <w:p w:rsidR="006F7EDF" w:rsidRPr="009C5107" w:rsidRDefault="0015702C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6F7EDF" w:rsidRPr="009C5107" w:rsidRDefault="0015702C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  <w:tr w:rsidR="009C5107" w:rsidRPr="009C5107" w:rsidTr="001D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F5200E" w:rsidRPr="009C5107" w:rsidRDefault="00F5200E" w:rsidP="001D4456">
            <w:pPr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Résultats des mesures proches des spécifications constructeur</w:t>
            </w:r>
            <w:r w:rsidR="0015702C"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, une légère dérive pouvant entrainer un résultat hors tolérance</w:t>
            </w:r>
          </w:p>
        </w:tc>
        <w:tc>
          <w:tcPr>
            <w:tcW w:w="1264" w:type="dxa"/>
            <w:vAlign w:val="center"/>
          </w:tcPr>
          <w:p w:rsidR="00F5200E" w:rsidRPr="009C5107" w:rsidRDefault="00625608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F5200E" w:rsidRPr="009C5107" w:rsidRDefault="00625608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404" w:type="dxa"/>
            <w:vAlign w:val="center"/>
          </w:tcPr>
          <w:p w:rsidR="00F5200E" w:rsidRPr="009C5107" w:rsidRDefault="00625608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982" w:type="dxa"/>
            <w:vAlign w:val="center"/>
          </w:tcPr>
          <w:p w:rsidR="00F5200E" w:rsidRPr="009C5107" w:rsidRDefault="00625608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18</w:t>
            </w:r>
          </w:p>
        </w:tc>
        <w:tc>
          <w:tcPr>
            <w:tcW w:w="3791" w:type="dxa"/>
            <w:vAlign w:val="center"/>
          </w:tcPr>
          <w:p w:rsidR="00F5200E" w:rsidRPr="009C5107" w:rsidRDefault="00F5200E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Discuter avec l’ingénieur d’installation pour s’éloigner des tolérances</w:t>
            </w:r>
          </w:p>
        </w:tc>
        <w:tc>
          <w:tcPr>
            <w:tcW w:w="1393" w:type="dxa"/>
            <w:vAlign w:val="center"/>
          </w:tcPr>
          <w:p w:rsidR="00F5200E" w:rsidRPr="009C5107" w:rsidRDefault="004E4DB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880" w:type="dxa"/>
            <w:vAlign w:val="center"/>
          </w:tcPr>
          <w:p w:rsidR="00F5200E" w:rsidRPr="009C5107" w:rsidRDefault="004E4DB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1383" w:type="dxa"/>
            <w:vAlign w:val="center"/>
          </w:tcPr>
          <w:p w:rsidR="00F5200E" w:rsidRPr="009C5107" w:rsidRDefault="004E4DB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F5200E" w:rsidRPr="009C5107" w:rsidRDefault="004E4DBA" w:rsidP="001D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  <w:tr w:rsidR="001D4456" w:rsidRPr="009C5107" w:rsidTr="001D4456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rPr>
                <w:rFonts w:cstheme="minorHAnsi"/>
                <w:b w:val="0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 xml:space="preserve">Signature du </w:t>
            </w:r>
            <w:r w:rsidR="009208A7"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>procès-verbal</w:t>
            </w:r>
            <w:r w:rsidRPr="009C5107">
              <w:rPr>
                <w:rFonts w:cstheme="minorHAnsi"/>
                <w:b w:val="0"/>
                <w:color w:val="auto"/>
                <w:sz w:val="18"/>
                <w:szCs w:val="18"/>
              </w:rPr>
              <w:t xml:space="preserve"> avec erreurs résiduelles</w:t>
            </w:r>
          </w:p>
        </w:tc>
        <w:tc>
          <w:tcPr>
            <w:tcW w:w="1264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982" w:type="dxa"/>
            <w:vAlign w:val="center"/>
          </w:tcPr>
          <w:p w:rsidR="006F7EDF" w:rsidRPr="009C5107" w:rsidRDefault="00980D08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center"/>
          </w:tcPr>
          <w:p w:rsidR="006F7EDF" w:rsidRPr="009C5107" w:rsidRDefault="00BF366A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  <w:tc>
          <w:tcPr>
            <w:tcW w:w="982" w:type="dxa"/>
            <w:vAlign w:val="center"/>
          </w:tcPr>
          <w:p w:rsidR="006F7EDF" w:rsidRPr="009C5107" w:rsidRDefault="00BF366A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24</w:t>
            </w:r>
          </w:p>
        </w:tc>
        <w:tc>
          <w:tcPr>
            <w:tcW w:w="3791" w:type="dxa"/>
            <w:vAlign w:val="center"/>
          </w:tcPr>
          <w:p w:rsidR="006F7EDF" w:rsidRPr="009C5107" w:rsidRDefault="005E6BE4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Vérifier l</w:t>
            </w:r>
            <w:r w:rsidR="009208A7" w:rsidRPr="009C5107">
              <w:rPr>
                <w:rFonts w:cstheme="minorHAnsi"/>
                <w:color w:val="auto"/>
                <w:sz w:val="18"/>
                <w:szCs w:val="18"/>
              </w:rPr>
              <w:t xml:space="preserve">es mesures et </w:t>
            </w:r>
            <w:r w:rsidRPr="009C5107">
              <w:rPr>
                <w:rFonts w:cstheme="minorHAnsi"/>
                <w:color w:val="auto"/>
                <w:sz w:val="18"/>
                <w:szCs w:val="18"/>
              </w:rPr>
              <w:t>le</w:t>
            </w:r>
            <w:r w:rsidR="009208A7" w:rsidRPr="009C5107">
              <w:rPr>
                <w:rFonts w:cstheme="minorHAnsi"/>
                <w:color w:val="auto"/>
                <w:sz w:val="18"/>
                <w:szCs w:val="18"/>
              </w:rPr>
              <w:t xml:space="preserve"> procès-verbal par un deuxième physicien</w:t>
            </w:r>
          </w:p>
        </w:tc>
        <w:tc>
          <w:tcPr>
            <w:tcW w:w="1393" w:type="dxa"/>
            <w:vAlign w:val="center"/>
          </w:tcPr>
          <w:p w:rsidR="006F7EDF" w:rsidRPr="009C5107" w:rsidRDefault="006F7EDF" w:rsidP="001D445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880" w:type="dxa"/>
            <w:vAlign w:val="center"/>
          </w:tcPr>
          <w:p w:rsidR="006F7EDF" w:rsidRPr="009C5107" w:rsidRDefault="004E4DBA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1383" w:type="dxa"/>
            <w:vAlign w:val="center"/>
          </w:tcPr>
          <w:p w:rsidR="006F7EDF" w:rsidRPr="009C5107" w:rsidRDefault="009A3C06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1155" w:type="dxa"/>
            <w:vAlign w:val="center"/>
          </w:tcPr>
          <w:p w:rsidR="006F7EDF" w:rsidRPr="009C5107" w:rsidRDefault="004E4DBA" w:rsidP="001D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18"/>
                <w:szCs w:val="18"/>
              </w:rPr>
            </w:pPr>
            <w:r w:rsidRPr="009C5107">
              <w:rPr>
                <w:rFonts w:cstheme="minorHAnsi"/>
                <w:color w:val="auto"/>
                <w:sz w:val="18"/>
                <w:szCs w:val="18"/>
              </w:rPr>
              <w:t>6</w:t>
            </w:r>
          </w:p>
        </w:tc>
      </w:tr>
    </w:tbl>
    <w:p w:rsidR="00D91DB0" w:rsidRDefault="00D91DB0" w:rsidP="00EB5BB1">
      <w:pPr>
        <w:jc w:val="both"/>
      </w:pPr>
    </w:p>
    <w:p w:rsidR="00535D9F" w:rsidRDefault="00535D9F" w:rsidP="00EB5BB1">
      <w:pPr>
        <w:jc w:val="both"/>
      </w:pPr>
    </w:p>
    <w:tbl>
      <w:tblPr>
        <w:tblStyle w:val="TableauGrille6Couleur-Accentuation6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3001"/>
        <w:gridCol w:w="2049"/>
      </w:tblGrid>
      <w:tr w:rsidR="005D46DC" w:rsidTr="0049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3" w:type="dxa"/>
            <w:gridSpan w:val="3"/>
            <w:vAlign w:val="center"/>
          </w:tcPr>
          <w:p w:rsidR="005D46DC" w:rsidRPr="005D46DC" w:rsidRDefault="005D46DC" w:rsidP="004901FC">
            <w:pPr>
              <w:spacing w:after="160" w:line="259" w:lineRule="auto"/>
              <w:jc w:val="center"/>
            </w:pPr>
            <w:r>
              <w:br w:type="page"/>
            </w:r>
            <w:r w:rsidRPr="005D46DC">
              <w:t>Fréquence</w:t>
            </w:r>
          </w:p>
        </w:tc>
      </w:tr>
      <w:tr w:rsidR="005D46DC" w:rsidTr="0049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:rsidR="005D46DC" w:rsidRPr="005D46DC" w:rsidRDefault="005D46DC" w:rsidP="004901FC">
            <w:pPr>
              <w:spacing w:after="160" w:line="259" w:lineRule="auto"/>
              <w:jc w:val="center"/>
            </w:pPr>
            <w:r w:rsidRPr="005D46DC">
              <w:t>Très rare</w:t>
            </w:r>
          </w:p>
        </w:tc>
        <w:tc>
          <w:tcPr>
            <w:tcW w:w="3001" w:type="dxa"/>
            <w:vAlign w:val="center"/>
          </w:tcPr>
          <w:p w:rsidR="005D46DC" w:rsidRPr="005D46DC" w:rsidRDefault="00BF74D9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acceptance sur dix</w:t>
            </w:r>
          </w:p>
        </w:tc>
        <w:tc>
          <w:tcPr>
            <w:tcW w:w="2049" w:type="dxa"/>
            <w:vAlign w:val="center"/>
          </w:tcPr>
          <w:p w:rsidR="005D46DC" w:rsidRPr="005D46DC" w:rsidRDefault="005D46DC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6DC">
              <w:t>1</w:t>
            </w:r>
          </w:p>
        </w:tc>
      </w:tr>
      <w:tr w:rsidR="005D46DC" w:rsidTr="004901FC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:rsidR="005D46DC" w:rsidRPr="005D46DC" w:rsidRDefault="000C00BD" w:rsidP="004901FC">
            <w:pPr>
              <w:spacing w:after="160" w:line="259" w:lineRule="auto"/>
              <w:jc w:val="center"/>
            </w:pPr>
            <w:r>
              <w:t>R</w:t>
            </w:r>
            <w:r w:rsidR="005D46DC" w:rsidRPr="005D46DC">
              <w:t>are</w:t>
            </w:r>
          </w:p>
        </w:tc>
        <w:tc>
          <w:tcPr>
            <w:tcW w:w="3001" w:type="dxa"/>
            <w:vAlign w:val="center"/>
          </w:tcPr>
          <w:p w:rsidR="005D46DC" w:rsidRPr="005D46DC" w:rsidRDefault="00BF74D9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acceptance sur cinq</w:t>
            </w:r>
          </w:p>
        </w:tc>
        <w:tc>
          <w:tcPr>
            <w:tcW w:w="2049" w:type="dxa"/>
            <w:vAlign w:val="center"/>
          </w:tcPr>
          <w:p w:rsidR="005D46DC" w:rsidRPr="005D46DC" w:rsidRDefault="005D46DC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6DC">
              <w:t>2</w:t>
            </w:r>
          </w:p>
        </w:tc>
      </w:tr>
      <w:tr w:rsidR="005D46DC" w:rsidTr="0049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:rsidR="005D46DC" w:rsidRPr="005D46DC" w:rsidRDefault="000C00BD" w:rsidP="004901FC">
            <w:pPr>
              <w:spacing w:after="160" w:line="259" w:lineRule="auto"/>
              <w:jc w:val="center"/>
            </w:pPr>
            <w:r>
              <w:t>F</w:t>
            </w:r>
            <w:r w:rsidR="005D46DC" w:rsidRPr="005D46DC">
              <w:t>réquent</w:t>
            </w:r>
          </w:p>
        </w:tc>
        <w:tc>
          <w:tcPr>
            <w:tcW w:w="3001" w:type="dxa"/>
            <w:vAlign w:val="center"/>
          </w:tcPr>
          <w:p w:rsidR="005D46DC" w:rsidRPr="005D46DC" w:rsidRDefault="00BF74D9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acceptance sur deux</w:t>
            </w:r>
          </w:p>
        </w:tc>
        <w:tc>
          <w:tcPr>
            <w:tcW w:w="2049" w:type="dxa"/>
            <w:vAlign w:val="center"/>
          </w:tcPr>
          <w:p w:rsidR="005D46DC" w:rsidRPr="005D46DC" w:rsidRDefault="005D46DC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6DC">
              <w:t>3</w:t>
            </w:r>
          </w:p>
        </w:tc>
      </w:tr>
      <w:tr w:rsidR="005D46DC" w:rsidTr="004901FC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:rsidR="005D46DC" w:rsidRPr="005D46DC" w:rsidRDefault="000C00BD" w:rsidP="004901FC">
            <w:pPr>
              <w:spacing w:after="160" w:line="259" w:lineRule="auto"/>
              <w:jc w:val="center"/>
            </w:pPr>
            <w:r>
              <w:t>T</w:t>
            </w:r>
            <w:r w:rsidR="005D46DC" w:rsidRPr="005D46DC">
              <w:t>rès fréquent</w:t>
            </w:r>
          </w:p>
        </w:tc>
        <w:tc>
          <w:tcPr>
            <w:tcW w:w="3001" w:type="dxa"/>
            <w:vAlign w:val="center"/>
          </w:tcPr>
          <w:p w:rsidR="005D46DC" w:rsidRPr="005D46DC" w:rsidRDefault="00BF74D9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chaque acceptance</w:t>
            </w:r>
          </w:p>
        </w:tc>
        <w:tc>
          <w:tcPr>
            <w:tcW w:w="2049" w:type="dxa"/>
            <w:vAlign w:val="center"/>
          </w:tcPr>
          <w:p w:rsidR="005D46DC" w:rsidRPr="005D46DC" w:rsidRDefault="005D46DC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6DC">
              <w:t>4</w:t>
            </w:r>
          </w:p>
        </w:tc>
      </w:tr>
    </w:tbl>
    <w:p w:rsidR="00EB0401" w:rsidRDefault="00EB0401" w:rsidP="00EB5BB1">
      <w:pPr>
        <w:jc w:val="both"/>
      </w:pPr>
    </w:p>
    <w:tbl>
      <w:tblPr>
        <w:tblStyle w:val="TableauGrille6Couleur-Accentuation6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6823"/>
        <w:gridCol w:w="1273"/>
      </w:tblGrid>
      <w:tr w:rsidR="004C1953" w:rsidTr="0049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6" w:type="dxa"/>
            <w:gridSpan w:val="3"/>
            <w:vAlign w:val="center"/>
          </w:tcPr>
          <w:p w:rsidR="004C1953" w:rsidRDefault="004C1953" w:rsidP="004901FC">
            <w:pPr>
              <w:jc w:val="center"/>
            </w:pPr>
            <w:r>
              <w:t>Gravité</w:t>
            </w:r>
          </w:p>
        </w:tc>
      </w:tr>
      <w:tr w:rsidR="00A30D1D" w:rsidTr="0049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4C1953" w:rsidRPr="005D46DC" w:rsidRDefault="0029033D" w:rsidP="004901FC">
            <w:pPr>
              <w:spacing w:after="160" w:line="259" w:lineRule="auto"/>
              <w:jc w:val="center"/>
            </w:pPr>
            <w:r>
              <w:t>P</w:t>
            </w:r>
            <w:r w:rsidR="004C1953" w:rsidRPr="005D46DC">
              <w:t>eu critique</w:t>
            </w:r>
          </w:p>
        </w:tc>
        <w:tc>
          <w:tcPr>
            <w:tcW w:w="6823" w:type="dxa"/>
            <w:vAlign w:val="center"/>
          </w:tcPr>
          <w:p w:rsidR="004C1953" w:rsidRPr="005D46DC" w:rsidRDefault="004C1953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6DC">
              <w:t xml:space="preserve">Inconfort temporaire, </w:t>
            </w:r>
            <w:r w:rsidR="00152E11">
              <w:t>retard potentiel de quelques heures</w:t>
            </w:r>
          </w:p>
        </w:tc>
        <w:tc>
          <w:tcPr>
            <w:tcW w:w="1273" w:type="dxa"/>
            <w:vAlign w:val="center"/>
          </w:tcPr>
          <w:p w:rsidR="004C1953" w:rsidRPr="005D46DC" w:rsidRDefault="004C1953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6DC">
              <w:t>1</w:t>
            </w:r>
          </w:p>
        </w:tc>
      </w:tr>
      <w:tr w:rsidR="004C1953" w:rsidTr="004901FC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4C1953" w:rsidRPr="005D46DC" w:rsidRDefault="0029033D" w:rsidP="004901FC">
            <w:pPr>
              <w:spacing w:after="160" w:line="259" w:lineRule="auto"/>
              <w:jc w:val="center"/>
            </w:pPr>
            <w:r>
              <w:t>C</w:t>
            </w:r>
            <w:r w:rsidR="004C1953" w:rsidRPr="005D46DC">
              <w:t>ritique</w:t>
            </w:r>
          </w:p>
        </w:tc>
        <w:tc>
          <w:tcPr>
            <w:tcW w:w="6823" w:type="dxa"/>
            <w:vAlign w:val="center"/>
          </w:tcPr>
          <w:p w:rsidR="004C1953" w:rsidRPr="005D46DC" w:rsidRDefault="00152E11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Inconfort prolongé, retard conséquent (plusieurs jours)</w:t>
            </w:r>
          </w:p>
        </w:tc>
        <w:tc>
          <w:tcPr>
            <w:tcW w:w="1273" w:type="dxa"/>
            <w:vAlign w:val="center"/>
          </w:tcPr>
          <w:p w:rsidR="004C1953" w:rsidRPr="005D46DC" w:rsidRDefault="004C1953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6DC">
              <w:t>2</w:t>
            </w:r>
          </w:p>
        </w:tc>
      </w:tr>
      <w:tr w:rsidR="00A30D1D" w:rsidTr="0049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4C1953" w:rsidRPr="005D46DC" w:rsidRDefault="0029033D" w:rsidP="004901FC">
            <w:pPr>
              <w:spacing w:after="160" w:line="259" w:lineRule="auto"/>
              <w:jc w:val="center"/>
            </w:pPr>
            <w:r>
              <w:t>T</w:t>
            </w:r>
            <w:r w:rsidR="004C1953" w:rsidRPr="005D46DC">
              <w:t>rès critique</w:t>
            </w:r>
          </w:p>
        </w:tc>
        <w:tc>
          <w:tcPr>
            <w:tcW w:w="6823" w:type="dxa"/>
            <w:vAlign w:val="center"/>
          </w:tcPr>
          <w:p w:rsidR="004C1953" w:rsidRPr="005D46DC" w:rsidRDefault="00152E11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Danger pour les patients </w:t>
            </w:r>
            <w:r>
              <w:rPr>
                <w:rFonts w:cstheme="minorHAnsi"/>
              </w:rPr>
              <w:t>±</w:t>
            </w:r>
            <w:r>
              <w:t xml:space="preserve"> personnel, retard important (&gt; une semaine)</w:t>
            </w:r>
          </w:p>
        </w:tc>
        <w:tc>
          <w:tcPr>
            <w:tcW w:w="1273" w:type="dxa"/>
            <w:vAlign w:val="center"/>
          </w:tcPr>
          <w:p w:rsidR="004C1953" w:rsidRPr="005D46DC" w:rsidRDefault="004C1953" w:rsidP="004901F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6DC">
              <w:t>3</w:t>
            </w:r>
          </w:p>
        </w:tc>
      </w:tr>
      <w:tr w:rsidR="004C1953" w:rsidTr="004901FC">
        <w:trPr>
          <w:trHeight w:val="7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4C1953" w:rsidRPr="005D46DC" w:rsidRDefault="0029033D" w:rsidP="004901FC">
            <w:pPr>
              <w:spacing w:after="160" w:line="259" w:lineRule="auto"/>
              <w:jc w:val="center"/>
            </w:pPr>
            <w:r>
              <w:t>G</w:t>
            </w:r>
            <w:r w:rsidR="004C1953" w:rsidRPr="005D46DC">
              <w:t>rave</w:t>
            </w:r>
          </w:p>
        </w:tc>
        <w:tc>
          <w:tcPr>
            <w:tcW w:w="6823" w:type="dxa"/>
            <w:vAlign w:val="center"/>
          </w:tcPr>
          <w:p w:rsidR="004C1953" w:rsidRPr="005D46DC" w:rsidRDefault="00152E11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Conséquence grave pour le patient </w:t>
            </w:r>
            <w:r>
              <w:rPr>
                <w:rFonts w:cstheme="minorHAnsi"/>
              </w:rPr>
              <w:t>±</w:t>
            </w:r>
            <w:r>
              <w:t xml:space="preserve"> personnel, déclaration </w:t>
            </w:r>
            <w:r w:rsidR="00311615">
              <w:t>d’une non-conformité inexistante, validation avec présence de non-conformité</w:t>
            </w:r>
          </w:p>
        </w:tc>
        <w:tc>
          <w:tcPr>
            <w:tcW w:w="1273" w:type="dxa"/>
            <w:vAlign w:val="center"/>
          </w:tcPr>
          <w:p w:rsidR="004C1953" w:rsidRPr="005D46DC" w:rsidRDefault="004C1953" w:rsidP="004901F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6DC">
              <w:t>4</w:t>
            </w:r>
          </w:p>
        </w:tc>
      </w:tr>
    </w:tbl>
    <w:tbl>
      <w:tblPr>
        <w:tblStyle w:val="TableauGrille6Couleur-Accentuation6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1702"/>
        <w:gridCol w:w="1703"/>
      </w:tblGrid>
      <w:tr w:rsidR="000C00BD" w:rsidTr="0049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gridSpan w:val="2"/>
            <w:vAlign w:val="center"/>
          </w:tcPr>
          <w:p w:rsidR="000C00BD" w:rsidRDefault="000C00BD" w:rsidP="004901FC">
            <w:pPr>
              <w:jc w:val="center"/>
            </w:pPr>
            <w:r>
              <w:t>Détectabilité</w:t>
            </w:r>
          </w:p>
        </w:tc>
      </w:tr>
      <w:tr w:rsidR="000C00BD" w:rsidTr="0049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0C00BD" w:rsidRDefault="000C00BD" w:rsidP="004901FC">
            <w:pPr>
              <w:jc w:val="center"/>
            </w:pPr>
            <w:r>
              <w:t>Facile</w:t>
            </w:r>
          </w:p>
        </w:tc>
        <w:tc>
          <w:tcPr>
            <w:tcW w:w="1703" w:type="dxa"/>
            <w:vAlign w:val="center"/>
          </w:tcPr>
          <w:p w:rsidR="000C00BD" w:rsidRDefault="000C00BD" w:rsidP="0049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00BD" w:rsidTr="004901F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0C00BD" w:rsidRDefault="000C00BD" w:rsidP="004901FC">
            <w:pPr>
              <w:jc w:val="center"/>
            </w:pPr>
            <w:r>
              <w:t>Difficile</w:t>
            </w:r>
          </w:p>
        </w:tc>
        <w:tc>
          <w:tcPr>
            <w:tcW w:w="1703" w:type="dxa"/>
            <w:vAlign w:val="center"/>
          </w:tcPr>
          <w:p w:rsidR="000C00BD" w:rsidRDefault="000C00BD" w:rsidP="0049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C00BD" w:rsidTr="0049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0C00BD" w:rsidRDefault="000C00BD" w:rsidP="004901FC">
            <w:pPr>
              <w:jc w:val="center"/>
            </w:pPr>
            <w:r>
              <w:t>Impossible</w:t>
            </w:r>
          </w:p>
        </w:tc>
        <w:tc>
          <w:tcPr>
            <w:tcW w:w="1703" w:type="dxa"/>
            <w:vAlign w:val="center"/>
          </w:tcPr>
          <w:p w:rsidR="000C00BD" w:rsidRDefault="000C00BD" w:rsidP="0049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5D46DC" w:rsidRDefault="005D46DC" w:rsidP="00EB5BB1">
      <w:pPr>
        <w:jc w:val="both"/>
      </w:pPr>
    </w:p>
    <w:p w:rsidR="005D46DC" w:rsidRDefault="005D46DC" w:rsidP="00EB5BB1">
      <w:pPr>
        <w:jc w:val="both"/>
      </w:pPr>
    </w:p>
    <w:p w:rsidR="000C00BD" w:rsidRDefault="000C00BD" w:rsidP="00EB5BB1">
      <w:pPr>
        <w:jc w:val="both"/>
      </w:pPr>
    </w:p>
    <w:p w:rsidR="000C00BD" w:rsidRDefault="000C00BD" w:rsidP="00EB5BB1">
      <w:pPr>
        <w:jc w:val="both"/>
      </w:pPr>
    </w:p>
    <w:p w:rsidR="000C00BD" w:rsidRDefault="000C00BD" w:rsidP="00EB5BB1">
      <w:pPr>
        <w:jc w:val="both"/>
      </w:pPr>
    </w:p>
    <w:p w:rsidR="000C00BD" w:rsidRDefault="000C00BD" w:rsidP="00EB5BB1">
      <w:pPr>
        <w:jc w:val="both"/>
      </w:pPr>
    </w:p>
    <w:p w:rsidR="004D6E59" w:rsidRDefault="004D6E59">
      <w:r>
        <w:br w:type="page"/>
      </w:r>
    </w:p>
    <w:p w:rsidR="000C00BD" w:rsidRDefault="004D6E59" w:rsidP="004D6E59">
      <w:pPr>
        <w:pStyle w:val="Titre1"/>
        <w:numPr>
          <w:ilvl w:val="0"/>
          <w:numId w:val="1"/>
        </w:numPr>
      </w:pPr>
      <w:bookmarkStart w:id="3" w:name="_Toc129169521"/>
      <w:r>
        <w:lastRenderedPageBreak/>
        <w:t>Plan d’action</w:t>
      </w:r>
      <w:bookmarkEnd w:id="3"/>
      <w:r>
        <w:t xml:space="preserve"> </w:t>
      </w:r>
    </w:p>
    <w:p w:rsidR="004D6E59" w:rsidRDefault="004D6E59" w:rsidP="00EB5BB1">
      <w:pPr>
        <w:jc w:val="both"/>
      </w:pPr>
    </w:p>
    <w:p w:rsidR="004D6E59" w:rsidRDefault="0015702C" w:rsidP="00EB5BB1">
      <w:pPr>
        <w:jc w:val="both"/>
      </w:pPr>
      <w:r>
        <w:t xml:space="preserve">Les trois risques majeurs identifiés dans le tableau précédent sont : </w:t>
      </w:r>
    </w:p>
    <w:p w:rsidR="0015702C" w:rsidRDefault="0015702C" w:rsidP="0015702C">
      <w:pPr>
        <w:pStyle w:val="Paragraphedeliste"/>
        <w:numPr>
          <w:ilvl w:val="0"/>
          <w:numId w:val="3"/>
        </w:numPr>
        <w:jc w:val="both"/>
      </w:pPr>
      <w:r>
        <w:t xml:space="preserve">Mesures biaisées (mauvais étalonnage, utilisation de coefficients erronés) </w:t>
      </w:r>
    </w:p>
    <w:p w:rsidR="00D5024C" w:rsidRDefault="00D5024C" w:rsidP="0015702C">
      <w:pPr>
        <w:pStyle w:val="Paragraphedeliste"/>
        <w:numPr>
          <w:ilvl w:val="0"/>
          <w:numId w:val="3"/>
        </w:numPr>
        <w:jc w:val="both"/>
      </w:pPr>
      <w:r>
        <w:t>Erreur lors de la saisie / transfert de données</w:t>
      </w:r>
    </w:p>
    <w:p w:rsidR="00E15CD6" w:rsidRPr="00E15CD6" w:rsidRDefault="00E15CD6" w:rsidP="0015702C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E15CD6">
        <w:t>Manque / panne / défaillance d’un matériel de mesures (cuve, chambres, ordinateur, logiciel)</w:t>
      </w:r>
    </w:p>
    <w:p w:rsidR="00B72FC3" w:rsidRDefault="00E13EB9" w:rsidP="00B72FC3">
      <w:pPr>
        <w:jc w:val="both"/>
        <w:rPr>
          <w:sz w:val="24"/>
        </w:rPr>
      </w:pPr>
      <w:r>
        <w:rPr>
          <w:sz w:val="24"/>
        </w:rPr>
        <w:t xml:space="preserve">Les actions permettant de réduire la fréquence ou la gravité des trois risques majeurs présentés sont décrites par la suite. </w:t>
      </w:r>
    </w:p>
    <w:p w:rsidR="00E13EB9" w:rsidRDefault="00E13EB9" w:rsidP="00B72FC3">
      <w:pPr>
        <w:jc w:val="both"/>
        <w:rPr>
          <w:sz w:val="24"/>
        </w:rPr>
      </w:pPr>
    </w:p>
    <w:p w:rsidR="00B72FC3" w:rsidRDefault="00B72FC3" w:rsidP="0021791E">
      <w:pPr>
        <w:pStyle w:val="Titre2"/>
        <w:numPr>
          <w:ilvl w:val="0"/>
          <w:numId w:val="4"/>
        </w:numPr>
      </w:pPr>
      <w:bookmarkStart w:id="4" w:name="_Toc129169522"/>
      <w:r>
        <w:t>Mesures biaisées</w:t>
      </w:r>
      <w:bookmarkEnd w:id="4"/>
      <w:r>
        <w:t xml:space="preserve"> </w:t>
      </w:r>
    </w:p>
    <w:p w:rsidR="00793893" w:rsidRPr="00793893" w:rsidRDefault="00793893" w:rsidP="00793893"/>
    <w:tbl>
      <w:tblPr>
        <w:tblStyle w:val="TableauListe6Couleur-Accentuation5"/>
        <w:tblW w:w="16111" w:type="dxa"/>
        <w:tblInd w:w="-289" w:type="dxa"/>
        <w:tblBorders>
          <w:left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4357"/>
        <w:gridCol w:w="4108"/>
        <w:gridCol w:w="1742"/>
        <w:gridCol w:w="1620"/>
        <w:gridCol w:w="2142"/>
        <w:gridCol w:w="2142"/>
      </w:tblGrid>
      <w:tr w:rsidR="00575D85" w:rsidTr="0085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</w:pPr>
            <w:r>
              <w:t>Action</w:t>
            </w:r>
          </w:p>
        </w:tc>
        <w:tc>
          <w:tcPr>
            <w:tcW w:w="4108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d’action</w:t>
            </w:r>
          </w:p>
        </w:tc>
        <w:tc>
          <w:tcPr>
            <w:tcW w:w="1742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de l’action</w:t>
            </w:r>
          </w:p>
        </w:tc>
        <w:tc>
          <w:tcPr>
            <w:tcW w:w="1620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l’action</w:t>
            </w:r>
          </w:p>
        </w:tc>
        <w:tc>
          <w:tcPr>
            <w:tcW w:w="2142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Efficacité</w:t>
            </w:r>
          </w:p>
        </w:tc>
        <w:tc>
          <w:tcPr>
            <w:tcW w:w="2142" w:type="dxa"/>
            <w:vAlign w:val="center"/>
          </w:tcPr>
          <w:p w:rsidR="00575D85" w:rsidRDefault="00575D85" w:rsidP="00854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 de la mise en place</w:t>
            </w:r>
          </w:p>
        </w:tc>
      </w:tr>
      <w:tr w:rsidR="00E65779" w:rsidTr="0085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E65779" w:rsidRPr="00917A00" w:rsidRDefault="00E65779" w:rsidP="00E657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Vérifier l’étalonnage et la conformité des chambres au préalable</w:t>
            </w:r>
          </w:p>
        </w:tc>
        <w:tc>
          <w:tcPr>
            <w:tcW w:w="4108" w:type="dxa"/>
            <w:vAlign w:val="center"/>
          </w:tcPr>
          <w:p w:rsidR="00E65779" w:rsidRPr="00F86569" w:rsidRDefault="00E65779" w:rsidP="00E6577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 en collaboration avec le technicien de mesures physiques</w:t>
            </w:r>
          </w:p>
        </w:tc>
        <w:tc>
          <w:tcPr>
            <w:tcW w:w="1742" w:type="dxa"/>
            <w:vAlign w:val="center"/>
          </w:tcPr>
          <w:p w:rsidR="00E65779" w:rsidRPr="00F86569" w:rsidRDefault="00E65779" w:rsidP="00E6577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heures</w:t>
            </w:r>
          </w:p>
        </w:tc>
        <w:tc>
          <w:tcPr>
            <w:tcW w:w="1620" w:type="dxa"/>
            <w:vAlign w:val="center"/>
          </w:tcPr>
          <w:p w:rsidR="00E65779" w:rsidRPr="00F86569" w:rsidRDefault="00E65779" w:rsidP="00E6577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42" w:type="dxa"/>
            <w:vAlign w:val="center"/>
          </w:tcPr>
          <w:p w:rsidR="00E65779" w:rsidRPr="00F86569" w:rsidRDefault="00E65779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42" w:type="dxa"/>
            <w:vAlign w:val="center"/>
          </w:tcPr>
          <w:p w:rsidR="00E65779" w:rsidRDefault="00FE75B1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65779" w:rsidTr="008542C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E65779" w:rsidRDefault="00E65779" w:rsidP="00E657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Vérifier les coefficients d’étalonnage des chambres</w:t>
            </w:r>
          </w:p>
        </w:tc>
        <w:tc>
          <w:tcPr>
            <w:tcW w:w="4108" w:type="dxa"/>
            <w:vAlign w:val="center"/>
          </w:tcPr>
          <w:p w:rsidR="00E65779" w:rsidRDefault="00E65779" w:rsidP="00E65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 en collaboration avec le technicien de mesures physiques</w:t>
            </w:r>
          </w:p>
        </w:tc>
        <w:tc>
          <w:tcPr>
            <w:tcW w:w="1742" w:type="dxa"/>
            <w:vAlign w:val="center"/>
          </w:tcPr>
          <w:p w:rsidR="00E65779" w:rsidRDefault="00E65779" w:rsidP="00E65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heures</w:t>
            </w:r>
          </w:p>
        </w:tc>
        <w:tc>
          <w:tcPr>
            <w:tcW w:w="1620" w:type="dxa"/>
            <w:vAlign w:val="center"/>
          </w:tcPr>
          <w:p w:rsidR="00E65779" w:rsidRDefault="00E65779" w:rsidP="00E65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42" w:type="dxa"/>
            <w:vAlign w:val="center"/>
          </w:tcPr>
          <w:p w:rsidR="00E65779" w:rsidRDefault="00E65779" w:rsidP="00E65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42" w:type="dxa"/>
            <w:vAlign w:val="center"/>
          </w:tcPr>
          <w:p w:rsidR="00E65779" w:rsidRDefault="00FE75B1" w:rsidP="00E65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65779" w:rsidTr="0085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E65779" w:rsidRDefault="00E65779" w:rsidP="00E65779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Effectuer les mesures avec plusieurs chambres</w:t>
            </w:r>
          </w:p>
        </w:tc>
        <w:tc>
          <w:tcPr>
            <w:tcW w:w="4108" w:type="dxa"/>
            <w:vAlign w:val="center"/>
          </w:tcPr>
          <w:p w:rsidR="00E65779" w:rsidRDefault="00E65779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</w:t>
            </w:r>
          </w:p>
        </w:tc>
        <w:tc>
          <w:tcPr>
            <w:tcW w:w="1742" w:type="dxa"/>
            <w:vAlign w:val="center"/>
          </w:tcPr>
          <w:p w:rsidR="00E65779" w:rsidRDefault="00E65779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Quelques jours</w:t>
            </w:r>
          </w:p>
        </w:tc>
        <w:tc>
          <w:tcPr>
            <w:tcW w:w="1620" w:type="dxa"/>
            <w:vAlign w:val="center"/>
          </w:tcPr>
          <w:p w:rsidR="00E65779" w:rsidRDefault="00E65779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42" w:type="dxa"/>
            <w:vAlign w:val="center"/>
          </w:tcPr>
          <w:p w:rsidR="00E65779" w:rsidRDefault="00E65779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42" w:type="dxa"/>
            <w:vAlign w:val="center"/>
          </w:tcPr>
          <w:p w:rsidR="00E65779" w:rsidRDefault="00FE75B1" w:rsidP="00E65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B72FC3" w:rsidRDefault="00B72FC3" w:rsidP="00B72FC3"/>
    <w:p w:rsidR="00B72FC3" w:rsidRDefault="00B72FC3" w:rsidP="0021791E">
      <w:pPr>
        <w:pStyle w:val="Titre2"/>
        <w:numPr>
          <w:ilvl w:val="0"/>
          <w:numId w:val="4"/>
        </w:numPr>
      </w:pPr>
      <w:bookmarkStart w:id="5" w:name="_Toc129169523"/>
      <w:r>
        <w:t>Erreur lors de la saisie / transfert de données</w:t>
      </w:r>
      <w:bookmarkEnd w:id="5"/>
    </w:p>
    <w:p w:rsidR="00793893" w:rsidRPr="00793893" w:rsidRDefault="00793893" w:rsidP="00793893"/>
    <w:tbl>
      <w:tblPr>
        <w:tblStyle w:val="TableauListe6Couleur-Accentuation5"/>
        <w:tblW w:w="16048" w:type="dxa"/>
        <w:tblInd w:w="-289" w:type="dxa"/>
        <w:tblBorders>
          <w:left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4340"/>
        <w:gridCol w:w="4092"/>
        <w:gridCol w:w="1735"/>
        <w:gridCol w:w="1613"/>
        <w:gridCol w:w="2134"/>
        <w:gridCol w:w="2134"/>
      </w:tblGrid>
      <w:tr w:rsidR="00575D85" w:rsidTr="0017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</w:pPr>
            <w:r>
              <w:t>Action</w:t>
            </w:r>
          </w:p>
        </w:tc>
        <w:tc>
          <w:tcPr>
            <w:tcW w:w="4092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d’action</w:t>
            </w:r>
          </w:p>
        </w:tc>
        <w:tc>
          <w:tcPr>
            <w:tcW w:w="1735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de l’action</w:t>
            </w:r>
          </w:p>
        </w:tc>
        <w:tc>
          <w:tcPr>
            <w:tcW w:w="1613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l’action</w:t>
            </w:r>
          </w:p>
        </w:tc>
        <w:tc>
          <w:tcPr>
            <w:tcW w:w="2134" w:type="dxa"/>
            <w:vAlign w:val="center"/>
          </w:tcPr>
          <w:p w:rsidR="00575D85" w:rsidRPr="00EB0401" w:rsidRDefault="00575D85" w:rsidP="008542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Efficacité</w:t>
            </w:r>
          </w:p>
        </w:tc>
        <w:tc>
          <w:tcPr>
            <w:tcW w:w="2134" w:type="dxa"/>
            <w:vAlign w:val="center"/>
          </w:tcPr>
          <w:p w:rsidR="00575D85" w:rsidRDefault="00575D85" w:rsidP="00854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 de la mise en place</w:t>
            </w:r>
          </w:p>
        </w:tc>
      </w:tr>
      <w:tr w:rsidR="00575D85" w:rsidTr="0017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vAlign w:val="center"/>
          </w:tcPr>
          <w:p w:rsidR="00575D85" w:rsidRDefault="004B4ED7" w:rsidP="004B4ED7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Rappeler les bonnes pratique</w:t>
            </w:r>
            <w:r w:rsidR="00953F3F">
              <w:rPr>
                <w:sz w:val="20"/>
              </w:rPr>
              <w:t>s</w:t>
            </w:r>
            <w:r>
              <w:rPr>
                <w:sz w:val="20"/>
              </w:rPr>
              <w:t>, notamment l</w:t>
            </w:r>
            <w:r w:rsidR="00C94E83">
              <w:rPr>
                <w:sz w:val="20"/>
              </w:rPr>
              <w:t>imiter les interruptions de tâches</w:t>
            </w:r>
            <w:r w:rsidR="009C29B5">
              <w:rPr>
                <w:sz w:val="20"/>
              </w:rPr>
              <w:t xml:space="preserve"> et intrusion</w:t>
            </w:r>
          </w:p>
        </w:tc>
        <w:tc>
          <w:tcPr>
            <w:tcW w:w="4092" w:type="dxa"/>
            <w:vAlign w:val="center"/>
          </w:tcPr>
          <w:p w:rsidR="00575D85" w:rsidRDefault="00953F3F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Chef de projet / Physicien médical</w:t>
            </w:r>
          </w:p>
        </w:tc>
        <w:tc>
          <w:tcPr>
            <w:tcW w:w="1735" w:type="dxa"/>
            <w:vAlign w:val="center"/>
          </w:tcPr>
          <w:p w:rsidR="00575D85" w:rsidRDefault="00B126DA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heure</w:t>
            </w:r>
          </w:p>
        </w:tc>
        <w:tc>
          <w:tcPr>
            <w:tcW w:w="1613" w:type="dxa"/>
            <w:vAlign w:val="center"/>
          </w:tcPr>
          <w:p w:rsidR="00575D85" w:rsidRDefault="00B375E6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34" w:type="dxa"/>
            <w:vAlign w:val="center"/>
          </w:tcPr>
          <w:p w:rsidR="00575D85" w:rsidRDefault="00B375E6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34" w:type="dxa"/>
            <w:vAlign w:val="center"/>
          </w:tcPr>
          <w:p w:rsidR="00575D85" w:rsidRDefault="008734DC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75D85" w:rsidTr="001730F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vAlign w:val="center"/>
          </w:tcPr>
          <w:p w:rsidR="00575D85" w:rsidRPr="00F86569" w:rsidRDefault="00FE185B" w:rsidP="008542C7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Vérifier les valeurs lors de la saisie et du transfert </w:t>
            </w:r>
          </w:p>
        </w:tc>
        <w:tc>
          <w:tcPr>
            <w:tcW w:w="4092" w:type="dxa"/>
            <w:vAlign w:val="center"/>
          </w:tcPr>
          <w:p w:rsidR="00575D85" w:rsidRPr="00F86569" w:rsidRDefault="00575D85" w:rsidP="00C94E8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Physicien médical en collaboration avec </w:t>
            </w:r>
            <w:r w:rsidR="00C94E83">
              <w:rPr>
                <w:sz w:val="20"/>
              </w:rPr>
              <w:t>l’ingénieur d’installation</w:t>
            </w:r>
          </w:p>
        </w:tc>
        <w:tc>
          <w:tcPr>
            <w:tcW w:w="1735" w:type="dxa"/>
            <w:vAlign w:val="center"/>
          </w:tcPr>
          <w:p w:rsidR="00575D85" w:rsidRPr="00F86569" w:rsidRDefault="00FE185B" w:rsidP="008542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Quelques minutes à chaque mesure</w:t>
            </w:r>
          </w:p>
        </w:tc>
        <w:tc>
          <w:tcPr>
            <w:tcW w:w="1613" w:type="dxa"/>
            <w:vAlign w:val="center"/>
          </w:tcPr>
          <w:p w:rsidR="00575D85" w:rsidRPr="00F86569" w:rsidRDefault="00575D85" w:rsidP="008542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34" w:type="dxa"/>
            <w:vAlign w:val="center"/>
          </w:tcPr>
          <w:p w:rsidR="00575D85" w:rsidRPr="00F86569" w:rsidRDefault="00FE185B" w:rsidP="00854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34" w:type="dxa"/>
            <w:vAlign w:val="center"/>
          </w:tcPr>
          <w:p w:rsidR="00575D85" w:rsidRDefault="008734DC" w:rsidP="00854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E185B" w:rsidTr="0017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vAlign w:val="center"/>
          </w:tcPr>
          <w:p w:rsidR="00FE185B" w:rsidRPr="00F86569" w:rsidRDefault="00FE185B" w:rsidP="00FE185B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Vérifier les valeurs lors du transfert </w:t>
            </w:r>
            <w:r w:rsidR="00517094">
              <w:rPr>
                <w:sz w:val="20"/>
              </w:rPr>
              <w:t>des données</w:t>
            </w:r>
          </w:p>
        </w:tc>
        <w:tc>
          <w:tcPr>
            <w:tcW w:w="4092" w:type="dxa"/>
            <w:vAlign w:val="center"/>
          </w:tcPr>
          <w:p w:rsidR="00FE185B" w:rsidRPr="00F86569" w:rsidRDefault="00FE185B" w:rsidP="00FE185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</w:t>
            </w:r>
          </w:p>
        </w:tc>
        <w:tc>
          <w:tcPr>
            <w:tcW w:w="1735" w:type="dxa"/>
            <w:vAlign w:val="center"/>
          </w:tcPr>
          <w:p w:rsidR="00FE185B" w:rsidRPr="00F86569" w:rsidRDefault="00B126DA" w:rsidP="00FE185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Quelques heures</w:t>
            </w:r>
            <w:bookmarkStart w:id="6" w:name="_GoBack"/>
            <w:bookmarkEnd w:id="6"/>
          </w:p>
        </w:tc>
        <w:tc>
          <w:tcPr>
            <w:tcW w:w="1613" w:type="dxa"/>
            <w:vAlign w:val="center"/>
          </w:tcPr>
          <w:p w:rsidR="00FE185B" w:rsidRPr="00F86569" w:rsidRDefault="00FE185B" w:rsidP="00FE185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34" w:type="dxa"/>
            <w:vAlign w:val="center"/>
          </w:tcPr>
          <w:p w:rsidR="00FE185B" w:rsidRPr="00F86569" w:rsidRDefault="00FE185B" w:rsidP="00FE1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34" w:type="dxa"/>
            <w:vAlign w:val="center"/>
          </w:tcPr>
          <w:p w:rsidR="00FE185B" w:rsidRDefault="008734DC" w:rsidP="00FE1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F407E7" w:rsidRDefault="00F407E7" w:rsidP="00F407E7"/>
    <w:p w:rsidR="00F407E7" w:rsidRDefault="00F407E7" w:rsidP="00F407E7"/>
    <w:p w:rsidR="00F407E7" w:rsidRDefault="00F407E7" w:rsidP="00F407E7"/>
    <w:p w:rsidR="00B72FC3" w:rsidRPr="00B72FC3" w:rsidRDefault="00B72FC3" w:rsidP="0021791E">
      <w:pPr>
        <w:pStyle w:val="Titre2"/>
        <w:numPr>
          <w:ilvl w:val="0"/>
          <w:numId w:val="4"/>
        </w:numPr>
      </w:pPr>
      <w:bookmarkStart w:id="7" w:name="_Toc129169524"/>
      <w:r>
        <w:t>Manque / panne / défaillance d’un matériel</w:t>
      </w:r>
      <w:bookmarkEnd w:id="7"/>
    </w:p>
    <w:p w:rsidR="00B72FC3" w:rsidRPr="00E15CD6" w:rsidRDefault="00B72FC3" w:rsidP="00D5024C">
      <w:pPr>
        <w:pStyle w:val="Paragraphedeliste"/>
        <w:jc w:val="both"/>
        <w:rPr>
          <w:sz w:val="24"/>
        </w:rPr>
      </w:pPr>
    </w:p>
    <w:tbl>
      <w:tblPr>
        <w:tblStyle w:val="TableauListe6Couleur-Accentuation5"/>
        <w:tblW w:w="16111" w:type="dxa"/>
        <w:tblInd w:w="-289" w:type="dxa"/>
        <w:tblBorders>
          <w:left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4357"/>
        <w:gridCol w:w="4108"/>
        <w:gridCol w:w="1742"/>
        <w:gridCol w:w="1620"/>
        <w:gridCol w:w="2142"/>
        <w:gridCol w:w="2142"/>
      </w:tblGrid>
      <w:tr w:rsidR="009305C6" w:rsidTr="0093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9305C6" w:rsidRPr="00EB0401" w:rsidRDefault="009305C6" w:rsidP="009305C6">
            <w:pPr>
              <w:spacing w:after="160" w:line="259" w:lineRule="auto"/>
              <w:jc w:val="center"/>
            </w:pPr>
            <w:r>
              <w:t>Action</w:t>
            </w:r>
          </w:p>
        </w:tc>
        <w:tc>
          <w:tcPr>
            <w:tcW w:w="4108" w:type="dxa"/>
            <w:vAlign w:val="center"/>
          </w:tcPr>
          <w:p w:rsidR="009305C6" w:rsidRPr="00EB0401" w:rsidRDefault="009305C6" w:rsidP="009305C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d’action</w:t>
            </w:r>
          </w:p>
        </w:tc>
        <w:tc>
          <w:tcPr>
            <w:tcW w:w="1742" w:type="dxa"/>
            <w:vAlign w:val="center"/>
          </w:tcPr>
          <w:p w:rsidR="009305C6" w:rsidRPr="00EB0401" w:rsidRDefault="009305C6" w:rsidP="009305C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de l’action</w:t>
            </w:r>
          </w:p>
        </w:tc>
        <w:tc>
          <w:tcPr>
            <w:tcW w:w="1620" w:type="dxa"/>
            <w:vAlign w:val="center"/>
          </w:tcPr>
          <w:p w:rsidR="009305C6" w:rsidRPr="00EB0401" w:rsidRDefault="009305C6" w:rsidP="009305C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l’action</w:t>
            </w:r>
          </w:p>
        </w:tc>
        <w:tc>
          <w:tcPr>
            <w:tcW w:w="2142" w:type="dxa"/>
            <w:vAlign w:val="center"/>
          </w:tcPr>
          <w:p w:rsidR="009305C6" w:rsidRPr="00EB0401" w:rsidRDefault="009305C6" w:rsidP="009305C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Efficacité</w:t>
            </w:r>
          </w:p>
        </w:tc>
        <w:tc>
          <w:tcPr>
            <w:tcW w:w="2142" w:type="dxa"/>
            <w:vAlign w:val="center"/>
          </w:tcPr>
          <w:p w:rsidR="009305C6" w:rsidRDefault="009305C6" w:rsidP="00930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 de la mise en place</w:t>
            </w:r>
          </w:p>
        </w:tc>
      </w:tr>
      <w:tr w:rsidR="00917A00" w:rsidTr="0093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917A00" w:rsidRDefault="00F014F2" w:rsidP="00917A00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Vérifier la check-list du matériel avant l’acceptance</w:t>
            </w:r>
          </w:p>
        </w:tc>
        <w:tc>
          <w:tcPr>
            <w:tcW w:w="4108" w:type="dxa"/>
            <w:vAlign w:val="center"/>
          </w:tcPr>
          <w:p w:rsidR="00917A00" w:rsidRDefault="00D413F9" w:rsidP="0091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 en collaboration avec le technicien de mesures physiques</w:t>
            </w:r>
          </w:p>
        </w:tc>
        <w:tc>
          <w:tcPr>
            <w:tcW w:w="1742" w:type="dxa"/>
            <w:vAlign w:val="center"/>
          </w:tcPr>
          <w:p w:rsidR="00917A00" w:rsidRDefault="00677CD4" w:rsidP="0091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heures</w:t>
            </w:r>
          </w:p>
        </w:tc>
        <w:tc>
          <w:tcPr>
            <w:tcW w:w="1620" w:type="dxa"/>
            <w:vAlign w:val="center"/>
          </w:tcPr>
          <w:p w:rsidR="00917A00" w:rsidRDefault="00677CD4" w:rsidP="0091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42" w:type="dxa"/>
            <w:vAlign w:val="center"/>
          </w:tcPr>
          <w:p w:rsidR="00917A00" w:rsidRDefault="00677CD4" w:rsidP="0091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42" w:type="dxa"/>
            <w:vAlign w:val="center"/>
          </w:tcPr>
          <w:p w:rsidR="00917A00" w:rsidRDefault="00A4334E" w:rsidP="00917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93E3B" w:rsidTr="009305C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A93E3B" w:rsidRDefault="00A93E3B" w:rsidP="00917A0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Vérifier le bon fonctionnement du matériel </w:t>
            </w:r>
          </w:p>
        </w:tc>
        <w:tc>
          <w:tcPr>
            <w:tcW w:w="4108" w:type="dxa"/>
            <w:vAlign w:val="center"/>
          </w:tcPr>
          <w:p w:rsidR="00A93E3B" w:rsidRDefault="00D413F9" w:rsidP="0091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 en collaboration avec le technicien de mesures physiques</w:t>
            </w:r>
          </w:p>
        </w:tc>
        <w:tc>
          <w:tcPr>
            <w:tcW w:w="1742" w:type="dxa"/>
            <w:vAlign w:val="center"/>
          </w:tcPr>
          <w:p w:rsidR="00A93E3B" w:rsidRDefault="00677CD4" w:rsidP="0091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Quelques heures</w:t>
            </w:r>
          </w:p>
        </w:tc>
        <w:tc>
          <w:tcPr>
            <w:tcW w:w="1620" w:type="dxa"/>
            <w:vAlign w:val="center"/>
          </w:tcPr>
          <w:p w:rsidR="00A93E3B" w:rsidRDefault="00677CD4" w:rsidP="0091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42" w:type="dxa"/>
            <w:vAlign w:val="center"/>
          </w:tcPr>
          <w:p w:rsidR="00A93E3B" w:rsidRDefault="00677CD4" w:rsidP="0091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42" w:type="dxa"/>
            <w:vAlign w:val="center"/>
          </w:tcPr>
          <w:p w:rsidR="00A93E3B" w:rsidRDefault="00A4334E" w:rsidP="00917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305C6" w:rsidTr="0093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:rsidR="009305C6" w:rsidRPr="00F86569" w:rsidRDefault="00F014F2" w:rsidP="009305C6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Avoir à disposition du matériel de rechange</w:t>
            </w:r>
          </w:p>
        </w:tc>
        <w:tc>
          <w:tcPr>
            <w:tcW w:w="4108" w:type="dxa"/>
            <w:vAlign w:val="center"/>
          </w:tcPr>
          <w:p w:rsidR="009305C6" w:rsidRPr="00F86569" w:rsidRDefault="009305C6" w:rsidP="009305C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Physicien médical en collaboration avec le technicien de mesures physiques</w:t>
            </w:r>
          </w:p>
        </w:tc>
        <w:tc>
          <w:tcPr>
            <w:tcW w:w="1742" w:type="dxa"/>
            <w:vAlign w:val="center"/>
          </w:tcPr>
          <w:p w:rsidR="009305C6" w:rsidRPr="00F86569" w:rsidRDefault="00677CD4" w:rsidP="009305C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Quelques jours</w:t>
            </w:r>
          </w:p>
        </w:tc>
        <w:tc>
          <w:tcPr>
            <w:tcW w:w="1620" w:type="dxa"/>
            <w:vAlign w:val="center"/>
          </w:tcPr>
          <w:p w:rsidR="009305C6" w:rsidRPr="00F86569" w:rsidRDefault="009305C6" w:rsidP="009305C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Réalisée</w:t>
            </w:r>
          </w:p>
        </w:tc>
        <w:tc>
          <w:tcPr>
            <w:tcW w:w="2142" w:type="dxa"/>
            <w:vAlign w:val="center"/>
          </w:tcPr>
          <w:p w:rsidR="009305C6" w:rsidRPr="00F86569" w:rsidRDefault="009305C6" w:rsidP="00930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42" w:type="dxa"/>
            <w:vAlign w:val="center"/>
          </w:tcPr>
          <w:p w:rsidR="009305C6" w:rsidRDefault="00A4334E" w:rsidP="00930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4D6E59" w:rsidRDefault="004D6E59" w:rsidP="00EB5BB1">
      <w:pPr>
        <w:jc w:val="both"/>
      </w:pPr>
    </w:p>
    <w:tbl>
      <w:tblPr>
        <w:tblStyle w:val="TableauGrille6Couleur-Accentuation6"/>
        <w:tblW w:w="0" w:type="auto"/>
        <w:jc w:val="center"/>
        <w:tblLook w:val="04A0" w:firstRow="1" w:lastRow="0" w:firstColumn="1" w:lastColumn="0" w:noHBand="0" w:noVBand="1"/>
      </w:tblPr>
      <w:tblGrid>
        <w:gridCol w:w="1987"/>
        <w:gridCol w:w="1988"/>
      </w:tblGrid>
      <w:tr w:rsidR="00D531F9" w:rsidTr="00467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2"/>
          </w:tcPr>
          <w:p w:rsidR="00D531F9" w:rsidRDefault="00D531F9" w:rsidP="00D531F9">
            <w:pPr>
              <w:jc w:val="center"/>
            </w:pPr>
            <w:r>
              <w:t>Efficacité</w:t>
            </w:r>
          </w:p>
        </w:tc>
      </w:tr>
      <w:tr w:rsidR="00D531F9" w:rsidTr="00467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D531F9" w:rsidRDefault="00D531F9" w:rsidP="00D531F9">
            <w:pPr>
              <w:jc w:val="center"/>
            </w:pPr>
            <w:r>
              <w:t>Très efficace</w:t>
            </w:r>
          </w:p>
        </w:tc>
        <w:tc>
          <w:tcPr>
            <w:tcW w:w="1987" w:type="dxa"/>
          </w:tcPr>
          <w:p w:rsidR="00D531F9" w:rsidRDefault="00D531F9" w:rsidP="00D5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531F9" w:rsidTr="00467136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D531F9" w:rsidRDefault="00D531F9" w:rsidP="00D531F9">
            <w:pPr>
              <w:jc w:val="center"/>
            </w:pPr>
            <w:r>
              <w:t>Peu efficace</w:t>
            </w:r>
          </w:p>
        </w:tc>
        <w:tc>
          <w:tcPr>
            <w:tcW w:w="1987" w:type="dxa"/>
          </w:tcPr>
          <w:p w:rsidR="00D531F9" w:rsidRDefault="00D531F9" w:rsidP="00D5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531F9" w:rsidTr="00467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D531F9" w:rsidRDefault="00D531F9" w:rsidP="00D531F9">
            <w:pPr>
              <w:jc w:val="center"/>
            </w:pPr>
            <w:r>
              <w:t>Inefficace</w:t>
            </w:r>
          </w:p>
        </w:tc>
        <w:tc>
          <w:tcPr>
            <w:tcW w:w="1987" w:type="dxa"/>
          </w:tcPr>
          <w:p w:rsidR="00D531F9" w:rsidRDefault="00D531F9" w:rsidP="00D5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D531F9" w:rsidRDefault="00D531F9" w:rsidP="00EB5BB1">
      <w:pPr>
        <w:jc w:val="both"/>
      </w:pPr>
    </w:p>
    <w:tbl>
      <w:tblPr>
        <w:tblStyle w:val="TableauGrille6Couleur-Accentuation6"/>
        <w:tblW w:w="0" w:type="auto"/>
        <w:jc w:val="center"/>
        <w:tblLook w:val="04A0" w:firstRow="1" w:lastRow="0" w:firstColumn="1" w:lastColumn="0" w:noHBand="0" w:noVBand="1"/>
      </w:tblPr>
      <w:tblGrid>
        <w:gridCol w:w="1987"/>
        <w:gridCol w:w="1988"/>
      </w:tblGrid>
      <w:tr w:rsidR="00E65BC5" w:rsidTr="0085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2"/>
          </w:tcPr>
          <w:p w:rsidR="00E65BC5" w:rsidRDefault="00E65BC5" w:rsidP="008542C7">
            <w:pPr>
              <w:jc w:val="center"/>
            </w:pPr>
            <w:r>
              <w:t>Difficulté de mise en place</w:t>
            </w:r>
          </w:p>
        </w:tc>
      </w:tr>
      <w:tr w:rsidR="00E65BC5" w:rsidTr="0085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E65BC5" w:rsidRDefault="00E65BC5" w:rsidP="00E65BC5">
            <w:pPr>
              <w:jc w:val="center"/>
            </w:pPr>
            <w:r>
              <w:t xml:space="preserve">Très </w:t>
            </w:r>
            <w:r>
              <w:t>difficile</w:t>
            </w:r>
          </w:p>
        </w:tc>
        <w:tc>
          <w:tcPr>
            <w:tcW w:w="1987" w:type="dxa"/>
          </w:tcPr>
          <w:p w:rsidR="00E65BC5" w:rsidRDefault="00E65BC5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65BC5" w:rsidTr="008542C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E65BC5" w:rsidRDefault="00E65BC5" w:rsidP="008542C7">
            <w:pPr>
              <w:jc w:val="center"/>
            </w:pPr>
            <w:r>
              <w:t>Difficile</w:t>
            </w:r>
          </w:p>
        </w:tc>
        <w:tc>
          <w:tcPr>
            <w:tcW w:w="1987" w:type="dxa"/>
          </w:tcPr>
          <w:p w:rsidR="00E65BC5" w:rsidRDefault="00E65BC5" w:rsidP="00854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5BC5" w:rsidTr="0085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E65BC5" w:rsidRDefault="00E65BC5" w:rsidP="008542C7">
            <w:pPr>
              <w:jc w:val="center"/>
            </w:pPr>
            <w:r>
              <w:t>Facile</w:t>
            </w:r>
          </w:p>
        </w:tc>
        <w:tc>
          <w:tcPr>
            <w:tcW w:w="1987" w:type="dxa"/>
          </w:tcPr>
          <w:p w:rsidR="00E65BC5" w:rsidRDefault="00E65BC5" w:rsidP="00854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5BC5" w:rsidRDefault="00E65BC5" w:rsidP="00EB5BB1">
      <w:pPr>
        <w:jc w:val="both"/>
        <w:sectPr w:rsidR="00E65BC5" w:rsidSect="007F1877">
          <w:pgSz w:w="16838" w:h="11906" w:orient="landscape"/>
          <w:pgMar w:top="567" w:right="720" w:bottom="567" w:left="720" w:header="709" w:footer="709" w:gutter="0"/>
          <w:cols w:space="708"/>
          <w:docGrid w:linePitch="360"/>
        </w:sectPr>
      </w:pPr>
    </w:p>
    <w:p w:rsidR="00887451" w:rsidRDefault="00887451" w:rsidP="00EB5BB1">
      <w:pPr>
        <w:pStyle w:val="Titre1"/>
        <w:numPr>
          <w:ilvl w:val="0"/>
          <w:numId w:val="1"/>
        </w:numPr>
        <w:spacing w:line="360" w:lineRule="auto"/>
        <w:jc w:val="both"/>
      </w:pPr>
      <w:bookmarkStart w:id="8" w:name="_Toc129169525"/>
      <w:r w:rsidRPr="00225326">
        <w:lastRenderedPageBreak/>
        <w:t>Eléments à contrôler avant la reprise des traitements</w:t>
      </w:r>
      <w:bookmarkEnd w:id="8"/>
    </w:p>
    <w:p w:rsidR="00AD7FB4" w:rsidRDefault="00AD7FB4" w:rsidP="00EB5BB1">
      <w:pPr>
        <w:spacing w:line="360" w:lineRule="auto"/>
        <w:jc w:val="both"/>
      </w:pPr>
    </w:p>
    <w:p w:rsidR="00C045D7" w:rsidRDefault="004D24AA" w:rsidP="00EB5BB1">
      <w:pPr>
        <w:spacing w:line="360" w:lineRule="auto"/>
        <w:jc w:val="both"/>
      </w:pPr>
      <w:r>
        <w:t>Avant la reprise des traitements, certaines étapes sont essentielles à contrôler.</w:t>
      </w:r>
      <w:r w:rsidR="000E51AD">
        <w:t xml:space="preserve"> </w:t>
      </w:r>
    </w:p>
    <w:p w:rsidR="00C045D7" w:rsidRDefault="000E51AD" w:rsidP="00A7448B">
      <w:pPr>
        <w:spacing w:line="360" w:lineRule="auto"/>
        <w:ind w:firstLine="708"/>
        <w:jc w:val="both"/>
      </w:pPr>
      <w:r>
        <w:t xml:space="preserve">Les mesures effectuées lors de la recette doivent être vérifiées. Des erreurs de matériels ou de conditions de mesures </w:t>
      </w:r>
      <w:r w:rsidR="005C7EA2">
        <w:t xml:space="preserve">comme la distance source-peau ou la taille de champ </w:t>
      </w:r>
      <w:r>
        <w:t>doivent être exclues</w:t>
      </w:r>
      <w:r w:rsidR="00C045D7">
        <w:t xml:space="preserve">. </w:t>
      </w:r>
      <w:r w:rsidR="00BD470B">
        <w:t xml:space="preserve">Ceci peut se faire par une double vérification par un deuxième physicien. </w:t>
      </w:r>
      <w:r w:rsidR="008B3D42">
        <w:t xml:space="preserve">Une erreur dans ces mesures impactera les traitements car elles interviennent dans la modélisation des faisceaux de traitement. </w:t>
      </w:r>
    </w:p>
    <w:p w:rsidR="00CD039C" w:rsidRDefault="00C045D7" w:rsidP="00A7448B">
      <w:pPr>
        <w:spacing w:line="360" w:lineRule="auto"/>
        <w:ind w:firstLine="708"/>
        <w:jc w:val="both"/>
      </w:pPr>
      <w:r>
        <w:t>La modélisation des faisceaux de traitement dans les systèmes de planification de traitement</w:t>
      </w:r>
      <w:r w:rsidR="00965BAE">
        <w:t xml:space="preserve"> (TPS)</w:t>
      </w:r>
      <w:r>
        <w:t xml:space="preserve"> doit être réalisée et validée. </w:t>
      </w:r>
      <w:r w:rsidR="00965BAE">
        <w:t xml:space="preserve">Cette étape permet d’éviter des erreurs de paramétrage du TPS comme un mauvais choix de l’algorithme de calcul ou une inversion des données d’entrée. </w:t>
      </w:r>
      <w:r w:rsidR="00A07C63">
        <w:t xml:space="preserve">Cette validation peut être réalisée par un deuxième physicien et en se comparant à la littérature. </w:t>
      </w:r>
    </w:p>
    <w:p w:rsidR="00AC1D87" w:rsidRDefault="00E0420A" w:rsidP="00A7448B">
      <w:pPr>
        <w:spacing w:line="360" w:lineRule="auto"/>
        <w:ind w:firstLine="708"/>
        <w:jc w:val="both"/>
      </w:pPr>
      <w:r>
        <w:t xml:space="preserve">Avant le début des traitements, un contrôle qualité externe doit être réalisé. </w:t>
      </w:r>
      <w:r w:rsidR="00410F27">
        <w:t xml:space="preserve">Celui-ci </w:t>
      </w:r>
      <w:r w:rsidR="00A51449">
        <w:t xml:space="preserve">est contrôlé par l’organisme Equal-Estro. </w:t>
      </w:r>
      <w:r w:rsidR="002B09A2">
        <w:t xml:space="preserve">Des mesures avec des dosimètres thermoluminescents (TLS) sont réalisées. </w:t>
      </w:r>
      <w:r w:rsidR="00C51879">
        <w:t>La commande de ces TLD doit être anticipée. L</w:t>
      </w:r>
      <w:r w:rsidR="002B09A2">
        <w:t xml:space="preserve">es mesures peuvent être effectuées par deux physiciens afin de réduire le risque d’erreur. </w:t>
      </w:r>
      <w:r w:rsidR="006A785E">
        <w:t xml:space="preserve">La date d’envoi de ces mesures doit être contrôlée afin de ne pas retarder le début des traitements. </w:t>
      </w:r>
    </w:p>
    <w:p w:rsidR="00C045D7" w:rsidRDefault="001E1522" w:rsidP="00A7448B">
      <w:pPr>
        <w:spacing w:line="360" w:lineRule="auto"/>
        <w:ind w:firstLine="708"/>
        <w:jc w:val="both"/>
      </w:pPr>
      <w:r>
        <w:t>Les traitements</w:t>
      </w:r>
      <w:r w:rsidR="002E34AB">
        <w:t xml:space="preserve"> ne </w:t>
      </w:r>
      <w:r>
        <w:t xml:space="preserve">peuvent commencer sans autorisation de la part de l’Autorité de Sureté Nucléaire (ASN). </w:t>
      </w:r>
      <w:r w:rsidR="002E34AB">
        <w:t xml:space="preserve">Les délais doivent ainsi être acceptables entre la fin de la recette et la date du premier patient. </w:t>
      </w:r>
    </w:p>
    <w:p w:rsidR="00A7448B" w:rsidRDefault="006B1C40" w:rsidP="00A7448B">
      <w:pPr>
        <w:spacing w:line="360" w:lineRule="auto"/>
        <w:ind w:firstLine="708"/>
        <w:jc w:val="both"/>
      </w:pPr>
      <w:r>
        <w:t>Avant la reprise des traitement</w:t>
      </w:r>
      <w:r w:rsidR="00487BDF">
        <w:t>s</w:t>
      </w:r>
      <w:r>
        <w:t xml:space="preserve">, il faut également s’assurer de la formation de tout le personnel intervenant sur l’appareil de traitement. </w:t>
      </w:r>
      <w:r w:rsidR="003D3CDF">
        <w:t xml:space="preserve">Pour cela, plusieurs créneaux de formation doivent être établis. Des bilans de compétences peuvent être réalisées après les étapes clés. </w:t>
      </w:r>
      <w:r w:rsidR="004D130B">
        <w:t xml:space="preserve">Après la formation, un retour d’expérience rapide peut être envisagé. </w:t>
      </w:r>
      <w:r w:rsidR="00467DB0">
        <w:t xml:space="preserve">Des modes opératoires doivent être rédigés. </w:t>
      </w:r>
    </w:p>
    <w:p w:rsidR="003C367E" w:rsidRDefault="006C0313" w:rsidP="00EB5BB1">
      <w:pPr>
        <w:spacing w:line="360" w:lineRule="auto"/>
        <w:jc w:val="both"/>
      </w:pPr>
      <w:r>
        <w:tab/>
      </w:r>
      <w:r w:rsidR="002037B3">
        <w:t>Un programme de c</w:t>
      </w:r>
      <w:r w:rsidR="003C367E">
        <w:t>ontrôle qualité et de maintenance</w:t>
      </w:r>
      <w:r w:rsidR="002037B3">
        <w:t xml:space="preserve"> doit être établi. </w:t>
      </w:r>
      <w:r w:rsidR="00BC71AA">
        <w:t xml:space="preserve">Un planning commun à l’équipe doit être mis en place. </w:t>
      </w:r>
    </w:p>
    <w:p w:rsidR="003C367E" w:rsidRDefault="003C367E" w:rsidP="00EB5BB1">
      <w:pPr>
        <w:spacing w:line="360" w:lineRule="auto"/>
        <w:jc w:val="both"/>
      </w:pPr>
    </w:p>
    <w:p w:rsidR="00AD7FB4" w:rsidRDefault="00AD7FB4" w:rsidP="00EB5BB1">
      <w:pPr>
        <w:spacing w:line="360" w:lineRule="auto"/>
        <w:jc w:val="both"/>
      </w:pPr>
      <w:r>
        <w:br w:type="page"/>
      </w:r>
    </w:p>
    <w:p w:rsidR="00AD7FB4" w:rsidRDefault="00AD7FB4" w:rsidP="00EB5BB1">
      <w:pPr>
        <w:pStyle w:val="Titre1"/>
        <w:spacing w:line="360" w:lineRule="auto"/>
        <w:jc w:val="both"/>
      </w:pPr>
      <w:bookmarkStart w:id="9" w:name="_Toc129169526"/>
      <w:r>
        <w:lastRenderedPageBreak/>
        <w:t>Bibli</w:t>
      </w:r>
      <w:r w:rsidR="002A12A7">
        <w:t>o</w:t>
      </w:r>
      <w:r>
        <w:t>graphie</w:t>
      </w:r>
      <w:bookmarkEnd w:id="9"/>
    </w:p>
    <w:p w:rsidR="002A12A7" w:rsidRDefault="002A12A7" w:rsidP="00EB5BB1">
      <w:pPr>
        <w:spacing w:line="360" w:lineRule="auto"/>
        <w:jc w:val="both"/>
      </w:pPr>
    </w:p>
    <w:p w:rsidR="00B2456B" w:rsidRPr="002A12A7" w:rsidRDefault="00B2456B" w:rsidP="00EB5BB1">
      <w:pPr>
        <w:spacing w:line="360" w:lineRule="auto"/>
        <w:jc w:val="both"/>
      </w:pPr>
      <w:r>
        <w:t xml:space="preserve">[1] : </w:t>
      </w:r>
      <w:r w:rsidR="00E3150B">
        <w:t xml:space="preserve">ASN – Guide d’auto-évaluation des risques encourus par les patients en radiothérapie externe, 2009. </w:t>
      </w:r>
    </w:p>
    <w:p w:rsidR="00AD7FB4" w:rsidRDefault="00AD7FB4" w:rsidP="00EB5BB1">
      <w:pPr>
        <w:spacing w:line="360" w:lineRule="auto"/>
        <w:jc w:val="both"/>
      </w:pPr>
      <w:r>
        <w:t>[</w:t>
      </w:r>
      <w:r w:rsidR="00B2456B">
        <w:t>2</w:t>
      </w:r>
      <w:r>
        <w:t>] : V. Marchesi – Assurance de qualité en radiothérapie – Aspects réglementaires et pratiques, 2015.</w:t>
      </w:r>
    </w:p>
    <w:p w:rsidR="00AD7FB4" w:rsidRDefault="00B2456B" w:rsidP="00EB5BB1">
      <w:pPr>
        <w:spacing w:line="360" w:lineRule="auto"/>
        <w:jc w:val="both"/>
      </w:pPr>
      <w:r>
        <w:t>[3</w:t>
      </w:r>
      <w:r w:rsidR="00F27F54">
        <w:t>] : AFSSAPS – Recommandations relatives à la recette des dispositifs médicaux de radiothérapie externe, 2008.</w:t>
      </w:r>
    </w:p>
    <w:p w:rsidR="005A6596" w:rsidRPr="00AD7FB4" w:rsidRDefault="00B2456B" w:rsidP="00EB5BB1">
      <w:pPr>
        <w:spacing w:line="360" w:lineRule="auto"/>
        <w:jc w:val="both"/>
      </w:pPr>
      <w:r>
        <w:t>[4</w:t>
      </w:r>
      <w:r w:rsidR="005A6596">
        <w:t>] : K. Keraudy – Acquisition, recette et mise en service de matériels, cours DQPRM 2023.</w:t>
      </w:r>
    </w:p>
    <w:sectPr w:rsidR="005A6596" w:rsidRPr="00AD7FB4" w:rsidSect="00021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5AF1"/>
    <w:multiLevelType w:val="hybridMultilevel"/>
    <w:tmpl w:val="52E0F6D6"/>
    <w:lvl w:ilvl="0" w:tplc="CF14C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6A16"/>
    <w:multiLevelType w:val="hybridMultilevel"/>
    <w:tmpl w:val="1DFCB2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3366"/>
    <w:multiLevelType w:val="hybridMultilevel"/>
    <w:tmpl w:val="6750E7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7A0E"/>
    <w:multiLevelType w:val="hybridMultilevel"/>
    <w:tmpl w:val="773240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C0"/>
    <w:rsid w:val="000127F2"/>
    <w:rsid w:val="000143D6"/>
    <w:rsid w:val="00015CE7"/>
    <w:rsid w:val="000211EB"/>
    <w:rsid w:val="00044371"/>
    <w:rsid w:val="00070EC0"/>
    <w:rsid w:val="000929A4"/>
    <w:rsid w:val="000C00BD"/>
    <w:rsid w:val="000D5791"/>
    <w:rsid w:val="000E51A6"/>
    <w:rsid w:val="000E51AD"/>
    <w:rsid w:val="000F09AC"/>
    <w:rsid w:val="001058C0"/>
    <w:rsid w:val="001148D7"/>
    <w:rsid w:val="0012633C"/>
    <w:rsid w:val="00127426"/>
    <w:rsid w:val="0015147B"/>
    <w:rsid w:val="00152AF2"/>
    <w:rsid w:val="00152E11"/>
    <w:rsid w:val="0015702C"/>
    <w:rsid w:val="001730F4"/>
    <w:rsid w:val="00174451"/>
    <w:rsid w:val="0018423C"/>
    <w:rsid w:val="00193CA2"/>
    <w:rsid w:val="00195330"/>
    <w:rsid w:val="001A0AB5"/>
    <w:rsid w:val="001B2138"/>
    <w:rsid w:val="001D4456"/>
    <w:rsid w:val="001D7454"/>
    <w:rsid w:val="001E1522"/>
    <w:rsid w:val="001E5C26"/>
    <w:rsid w:val="001E77F6"/>
    <w:rsid w:val="001F41D2"/>
    <w:rsid w:val="001F4296"/>
    <w:rsid w:val="001F507E"/>
    <w:rsid w:val="001F59B5"/>
    <w:rsid w:val="002037B3"/>
    <w:rsid w:val="0021791E"/>
    <w:rsid w:val="00225326"/>
    <w:rsid w:val="00225EC7"/>
    <w:rsid w:val="00230715"/>
    <w:rsid w:val="00230FF0"/>
    <w:rsid w:val="0023578C"/>
    <w:rsid w:val="00247AA2"/>
    <w:rsid w:val="0025120C"/>
    <w:rsid w:val="00257586"/>
    <w:rsid w:val="0026193E"/>
    <w:rsid w:val="0027016E"/>
    <w:rsid w:val="00274343"/>
    <w:rsid w:val="00280333"/>
    <w:rsid w:val="0029033D"/>
    <w:rsid w:val="00297FAD"/>
    <w:rsid w:val="002A12A7"/>
    <w:rsid w:val="002B09A2"/>
    <w:rsid w:val="002E34AB"/>
    <w:rsid w:val="00311615"/>
    <w:rsid w:val="00314D77"/>
    <w:rsid w:val="0032212D"/>
    <w:rsid w:val="00325970"/>
    <w:rsid w:val="0033564F"/>
    <w:rsid w:val="00356AEB"/>
    <w:rsid w:val="00361494"/>
    <w:rsid w:val="0036356F"/>
    <w:rsid w:val="003767A0"/>
    <w:rsid w:val="00376883"/>
    <w:rsid w:val="003821C3"/>
    <w:rsid w:val="003C367E"/>
    <w:rsid w:val="003D3CDF"/>
    <w:rsid w:val="003F68B4"/>
    <w:rsid w:val="003F7605"/>
    <w:rsid w:val="00410F27"/>
    <w:rsid w:val="00413EF3"/>
    <w:rsid w:val="00423AD2"/>
    <w:rsid w:val="00437A5B"/>
    <w:rsid w:val="00456A5D"/>
    <w:rsid w:val="00467136"/>
    <w:rsid w:val="00467DB0"/>
    <w:rsid w:val="00487BDF"/>
    <w:rsid w:val="004901FC"/>
    <w:rsid w:val="004B4ED7"/>
    <w:rsid w:val="004B6AAC"/>
    <w:rsid w:val="004C1953"/>
    <w:rsid w:val="004C40A6"/>
    <w:rsid w:val="004D0169"/>
    <w:rsid w:val="004D130B"/>
    <w:rsid w:val="004D24AA"/>
    <w:rsid w:val="004D58B1"/>
    <w:rsid w:val="004D6E59"/>
    <w:rsid w:val="004E4DBA"/>
    <w:rsid w:val="004E7757"/>
    <w:rsid w:val="004F1231"/>
    <w:rsid w:val="00517094"/>
    <w:rsid w:val="00535D9F"/>
    <w:rsid w:val="005379B6"/>
    <w:rsid w:val="005401D6"/>
    <w:rsid w:val="00540304"/>
    <w:rsid w:val="00542EE8"/>
    <w:rsid w:val="00547E04"/>
    <w:rsid w:val="00575D85"/>
    <w:rsid w:val="0058290A"/>
    <w:rsid w:val="00582A13"/>
    <w:rsid w:val="00585676"/>
    <w:rsid w:val="005A1D39"/>
    <w:rsid w:val="005A6596"/>
    <w:rsid w:val="005C1DB2"/>
    <w:rsid w:val="005C5164"/>
    <w:rsid w:val="005C7EA2"/>
    <w:rsid w:val="005D46DC"/>
    <w:rsid w:val="005E3BF4"/>
    <w:rsid w:val="005E6BE4"/>
    <w:rsid w:val="0060214E"/>
    <w:rsid w:val="00607D42"/>
    <w:rsid w:val="0061001E"/>
    <w:rsid w:val="00610033"/>
    <w:rsid w:val="00625608"/>
    <w:rsid w:val="00630D75"/>
    <w:rsid w:val="0066343E"/>
    <w:rsid w:val="00665556"/>
    <w:rsid w:val="00667544"/>
    <w:rsid w:val="00677CD4"/>
    <w:rsid w:val="006979D3"/>
    <w:rsid w:val="006A785E"/>
    <w:rsid w:val="006B1C40"/>
    <w:rsid w:val="006C0313"/>
    <w:rsid w:val="006C715D"/>
    <w:rsid w:val="006D5AA0"/>
    <w:rsid w:val="006F7EDF"/>
    <w:rsid w:val="00712554"/>
    <w:rsid w:val="00721DBD"/>
    <w:rsid w:val="00751382"/>
    <w:rsid w:val="00760339"/>
    <w:rsid w:val="007717C6"/>
    <w:rsid w:val="007773E8"/>
    <w:rsid w:val="00780C1E"/>
    <w:rsid w:val="00793893"/>
    <w:rsid w:val="007A5172"/>
    <w:rsid w:val="007B1687"/>
    <w:rsid w:val="007C5A9E"/>
    <w:rsid w:val="007D3A0E"/>
    <w:rsid w:val="007F1877"/>
    <w:rsid w:val="007F4634"/>
    <w:rsid w:val="00814841"/>
    <w:rsid w:val="0083253B"/>
    <w:rsid w:val="00864A3A"/>
    <w:rsid w:val="008734DC"/>
    <w:rsid w:val="00873EFF"/>
    <w:rsid w:val="00880AFB"/>
    <w:rsid w:val="00887451"/>
    <w:rsid w:val="008B3D42"/>
    <w:rsid w:val="008B6938"/>
    <w:rsid w:val="008C3AA3"/>
    <w:rsid w:val="008C794A"/>
    <w:rsid w:val="008D5BB6"/>
    <w:rsid w:val="00902F38"/>
    <w:rsid w:val="00917A00"/>
    <w:rsid w:val="009208A7"/>
    <w:rsid w:val="009305C6"/>
    <w:rsid w:val="00934E3A"/>
    <w:rsid w:val="00953F3F"/>
    <w:rsid w:val="00963B99"/>
    <w:rsid w:val="00965BAE"/>
    <w:rsid w:val="00970C00"/>
    <w:rsid w:val="00980D08"/>
    <w:rsid w:val="009A3C06"/>
    <w:rsid w:val="009C29B5"/>
    <w:rsid w:val="009C5107"/>
    <w:rsid w:val="009E2945"/>
    <w:rsid w:val="009E446E"/>
    <w:rsid w:val="009F1C23"/>
    <w:rsid w:val="009F7BA6"/>
    <w:rsid w:val="00A07C63"/>
    <w:rsid w:val="00A30D1D"/>
    <w:rsid w:val="00A4334E"/>
    <w:rsid w:val="00A51449"/>
    <w:rsid w:val="00A732A6"/>
    <w:rsid w:val="00A7448B"/>
    <w:rsid w:val="00A91F7A"/>
    <w:rsid w:val="00A92FCC"/>
    <w:rsid w:val="00A93E3B"/>
    <w:rsid w:val="00A9513F"/>
    <w:rsid w:val="00AC1D87"/>
    <w:rsid w:val="00AC400F"/>
    <w:rsid w:val="00AD7FB4"/>
    <w:rsid w:val="00B126DA"/>
    <w:rsid w:val="00B213A2"/>
    <w:rsid w:val="00B2456B"/>
    <w:rsid w:val="00B257FD"/>
    <w:rsid w:val="00B26492"/>
    <w:rsid w:val="00B344B0"/>
    <w:rsid w:val="00B375E6"/>
    <w:rsid w:val="00B41CCD"/>
    <w:rsid w:val="00B45A1D"/>
    <w:rsid w:val="00B500B9"/>
    <w:rsid w:val="00B514A9"/>
    <w:rsid w:val="00B72FC3"/>
    <w:rsid w:val="00B74A8C"/>
    <w:rsid w:val="00B7739E"/>
    <w:rsid w:val="00BA2A46"/>
    <w:rsid w:val="00BA3AA4"/>
    <w:rsid w:val="00BB23F3"/>
    <w:rsid w:val="00BC14D0"/>
    <w:rsid w:val="00BC71AA"/>
    <w:rsid w:val="00BD470B"/>
    <w:rsid w:val="00BF366A"/>
    <w:rsid w:val="00BF74D9"/>
    <w:rsid w:val="00C045D7"/>
    <w:rsid w:val="00C05F66"/>
    <w:rsid w:val="00C15A9F"/>
    <w:rsid w:val="00C272D6"/>
    <w:rsid w:val="00C33175"/>
    <w:rsid w:val="00C5009C"/>
    <w:rsid w:val="00C51879"/>
    <w:rsid w:val="00C61DB7"/>
    <w:rsid w:val="00C750AC"/>
    <w:rsid w:val="00C94B07"/>
    <w:rsid w:val="00C94C5C"/>
    <w:rsid w:val="00C94E83"/>
    <w:rsid w:val="00CA3076"/>
    <w:rsid w:val="00CC2FBE"/>
    <w:rsid w:val="00CD039C"/>
    <w:rsid w:val="00CD162C"/>
    <w:rsid w:val="00CE42F0"/>
    <w:rsid w:val="00CF7C4A"/>
    <w:rsid w:val="00D05157"/>
    <w:rsid w:val="00D25F37"/>
    <w:rsid w:val="00D27158"/>
    <w:rsid w:val="00D413F9"/>
    <w:rsid w:val="00D5024C"/>
    <w:rsid w:val="00D522A7"/>
    <w:rsid w:val="00D531F9"/>
    <w:rsid w:val="00D60D28"/>
    <w:rsid w:val="00D66DDE"/>
    <w:rsid w:val="00D84640"/>
    <w:rsid w:val="00D911C3"/>
    <w:rsid w:val="00D91DB0"/>
    <w:rsid w:val="00DA07C3"/>
    <w:rsid w:val="00DC4454"/>
    <w:rsid w:val="00DD360D"/>
    <w:rsid w:val="00DE7196"/>
    <w:rsid w:val="00DF17E4"/>
    <w:rsid w:val="00E0420A"/>
    <w:rsid w:val="00E13EB9"/>
    <w:rsid w:val="00E15CD6"/>
    <w:rsid w:val="00E3150B"/>
    <w:rsid w:val="00E35102"/>
    <w:rsid w:val="00E441C5"/>
    <w:rsid w:val="00E46CD0"/>
    <w:rsid w:val="00E537EC"/>
    <w:rsid w:val="00E65779"/>
    <w:rsid w:val="00E65BC5"/>
    <w:rsid w:val="00E84153"/>
    <w:rsid w:val="00E87CD9"/>
    <w:rsid w:val="00EB0401"/>
    <w:rsid w:val="00EB5BB1"/>
    <w:rsid w:val="00EB651B"/>
    <w:rsid w:val="00EB6A71"/>
    <w:rsid w:val="00ED1676"/>
    <w:rsid w:val="00ED62BF"/>
    <w:rsid w:val="00EE00C5"/>
    <w:rsid w:val="00F014F2"/>
    <w:rsid w:val="00F252B7"/>
    <w:rsid w:val="00F27F54"/>
    <w:rsid w:val="00F407E7"/>
    <w:rsid w:val="00F47405"/>
    <w:rsid w:val="00F5200E"/>
    <w:rsid w:val="00F6605D"/>
    <w:rsid w:val="00F738FD"/>
    <w:rsid w:val="00F86569"/>
    <w:rsid w:val="00F87B43"/>
    <w:rsid w:val="00F90440"/>
    <w:rsid w:val="00FA2BB5"/>
    <w:rsid w:val="00FA6C4B"/>
    <w:rsid w:val="00FB08DD"/>
    <w:rsid w:val="00FB4263"/>
    <w:rsid w:val="00FD0C7D"/>
    <w:rsid w:val="00FD71A3"/>
    <w:rsid w:val="00FD744C"/>
    <w:rsid w:val="00FE185B"/>
    <w:rsid w:val="00FE201C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94E7"/>
  <w15:chartTrackingRefBased/>
  <w15:docId w15:val="{EFC27873-059C-4E6A-8021-53A3C89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326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744C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74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744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6Couleur-Accentuation5">
    <w:name w:val="List Table 6 Colorful Accent 5"/>
    <w:basedOn w:val="TableauNormal"/>
    <w:uiPriority w:val="51"/>
    <w:rsid w:val="0075138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30D1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phedeliste">
    <w:name w:val="List Paragraph"/>
    <w:basedOn w:val="Normal"/>
    <w:uiPriority w:val="34"/>
    <w:qFormat/>
    <w:rsid w:val="0015702C"/>
    <w:pPr>
      <w:ind w:left="720"/>
      <w:contextualSpacing/>
    </w:pPr>
  </w:style>
  <w:style w:type="table" w:styleId="TableauListe6Couleur-Accentuation3">
    <w:name w:val="List Table 6 Colorful Accent 3"/>
    <w:basedOn w:val="TableauNormal"/>
    <w:uiPriority w:val="51"/>
    <w:rsid w:val="001D445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B72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B16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E38C-EA5B-4700-B62E-69507131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6779</TotalTime>
  <Pages>8</Pages>
  <Words>1606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Marion</dc:creator>
  <cp:keywords/>
  <dc:description/>
  <cp:lastModifiedBy>Boulanger Marion</cp:lastModifiedBy>
  <cp:revision>310</cp:revision>
  <dcterms:created xsi:type="dcterms:W3CDTF">2023-02-22T07:56:00Z</dcterms:created>
  <dcterms:modified xsi:type="dcterms:W3CDTF">2023-03-08T11:09:00Z</dcterms:modified>
</cp:coreProperties>
</file>