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E" w:rsidRDefault="00356D4E" w:rsidP="00671997">
      <w:r>
        <w:t>Le pré-</w:t>
      </w:r>
      <w:proofErr w:type="spellStart"/>
      <w:r>
        <w:t>aligment</w:t>
      </w:r>
      <w:proofErr w:type="spellEnd"/>
      <w:r>
        <w:t xml:space="preserve"> manuel a donc été réalisé en se basant sur le rachis et la cage thoracique au niveau du volume cible.</w:t>
      </w:r>
      <w:bookmarkStart w:id="0" w:name="_GoBack"/>
      <w:bookmarkEnd w:id="0"/>
    </w:p>
    <w:p w:rsidR="00356D4E" w:rsidRDefault="00356D4E" w:rsidP="00671997"/>
    <w:p w:rsidR="00671997" w:rsidRDefault="00671997" w:rsidP="00671997">
      <w:r>
        <w:t>On décoche l’option « 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 ». En effet, si cette option est cochée, elle ne prend pas en compte l’alignement manuel réalisé auparavant. Cette option choisit la meilleure option de point de départ pour le recalage. </w:t>
      </w:r>
    </w:p>
    <w:p w:rsidR="00E5262D" w:rsidRDefault="00E5262D"/>
    <w:p w:rsidR="00671997" w:rsidRDefault="00671997" w:rsidP="00671997">
      <w:r>
        <w:t xml:space="preserve">Le recalage automatique ne fonctionne pas pour ce cas, il replace le CT1 hors-champ. </w:t>
      </w:r>
    </w:p>
    <w:p w:rsidR="00671997" w:rsidRDefault="00671997" w:rsidP="00671997">
      <w:pPr>
        <w:jc w:val="center"/>
      </w:pPr>
      <w:r>
        <w:rPr>
          <w:noProof/>
          <w:lang w:eastAsia="fr-FR"/>
        </w:rPr>
        <w:drawing>
          <wp:inline distT="0" distB="0" distL="0" distR="0" wp14:anchorId="15A45A6C" wp14:editId="5D2DACD6">
            <wp:extent cx="1596922" cy="2620862"/>
            <wp:effectExtent l="0" t="0" r="381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922" cy="26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97" w:rsidRDefault="00671997" w:rsidP="0067199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 : Position du CT1 après le recalage automatique. </w:t>
      </w:r>
    </w:p>
    <w:tbl>
      <w:tblPr>
        <w:tblStyle w:val="Grilledutableau"/>
        <w:tblW w:w="10660" w:type="dxa"/>
        <w:jc w:val="center"/>
        <w:tblLook w:val="04A0" w:firstRow="1" w:lastRow="0" w:firstColumn="1" w:lastColumn="0" w:noHBand="0" w:noVBand="1"/>
      </w:tblPr>
      <w:tblGrid>
        <w:gridCol w:w="5000"/>
        <w:gridCol w:w="1289"/>
        <w:gridCol w:w="957"/>
        <w:gridCol w:w="1181"/>
        <w:gridCol w:w="735"/>
        <w:gridCol w:w="776"/>
        <w:gridCol w:w="722"/>
      </w:tblGrid>
      <w:tr w:rsidR="00671997" w:rsidTr="00D5619E">
        <w:trPr>
          <w:trHeight w:val="130"/>
          <w:jc w:val="center"/>
        </w:trPr>
        <w:tc>
          <w:tcPr>
            <w:tcW w:w="5000" w:type="dxa"/>
            <w:vMerge w:val="restart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Type de recalage</w:t>
            </w:r>
          </w:p>
        </w:tc>
        <w:tc>
          <w:tcPr>
            <w:tcW w:w="3427" w:type="dxa"/>
            <w:gridSpan w:val="3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Translations (cm)</w:t>
            </w:r>
          </w:p>
        </w:tc>
        <w:tc>
          <w:tcPr>
            <w:tcW w:w="2232" w:type="dxa"/>
            <w:gridSpan w:val="3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Rotations (°)</w:t>
            </w:r>
          </w:p>
        </w:tc>
      </w:tr>
      <w:tr w:rsidR="00671997" w:rsidTr="00D5619E">
        <w:trPr>
          <w:trHeight w:val="147"/>
          <w:jc w:val="center"/>
        </w:trPr>
        <w:tc>
          <w:tcPr>
            <w:tcW w:w="5000" w:type="dxa"/>
            <w:vMerge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</w:p>
        </w:tc>
        <w:tc>
          <w:tcPr>
            <w:tcW w:w="1289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Right-</w:t>
            </w:r>
            <w:proofErr w:type="spellStart"/>
            <w:r w:rsidRPr="00AC53E1">
              <w:rPr>
                <w:b/>
              </w:rPr>
              <w:t>left</w:t>
            </w:r>
            <w:proofErr w:type="spellEnd"/>
          </w:p>
        </w:tc>
        <w:tc>
          <w:tcPr>
            <w:tcW w:w="957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proofErr w:type="spellStart"/>
            <w:r w:rsidRPr="00AC53E1">
              <w:rPr>
                <w:b/>
              </w:rPr>
              <w:t>Inf</w:t>
            </w:r>
            <w:proofErr w:type="spellEnd"/>
            <w:r w:rsidRPr="00AC53E1">
              <w:rPr>
                <w:b/>
              </w:rPr>
              <w:t>-sup</w:t>
            </w:r>
          </w:p>
        </w:tc>
        <w:tc>
          <w:tcPr>
            <w:tcW w:w="118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proofErr w:type="spellStart"/>
            <w:r w:rsidRPr="00AC53E1">
              <w:rPr>
                <w:b/>
              </w:rPr>
              <w:t>Post-Ant</w:t>
            </w:r>
            <w:proofErr w:type="spellEnd"/>
          </w:p>
        </w:tc>
        <w:tc>
          <w:tcPr>
            <w:tcW w:w="735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Pitch</w:t>
            </w:r>
          </w:p>
        </w:tc>
        <w:tc>
          <w:tcPr>
            <w:tcW w:w="776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Roll</w:t>
            </w:r>
          </w:p>
        </w:tc>
        <w:tc>
          <w:tcPr>
            <w:tcW w:w="721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proofErr w:type="spellStart"/>
            <w:r w:rsidRPr="00AC53E1">
              <w:rPr>
                <w:b/>
              </w:rPr>
              <w:t>Yaw</w:t>
            </w:r>
            <w:proofErr w:type="spellEnd"/>
          </w:p>
        </w:tc>
      </w:tr>
      <w:tr w:rsidR="00671997" w:rsidTr="00D5619E">
        <w:trPr>
          <w:trHeight w:val="130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1) Manuel</w:t>
            </w:r>
          </w:p>
        </w:tc>
        <w:tc>
          <w:tcPr>
            <w:tcW w:w="1289" w:type="dxa"/>
            <w:vAlign w:val="center"/>
          </w:tcPr>
          <w:p w:rsidR="00671997" w:rsidRDefault="00671997" w:rsidP="00D5619E">
            <w:pPr>
              <w:jc w:val="center"/>
            </w:pPr>
            <w:r>
              <w:t>2,52</w:t>
            </w:r>
          </w:p>
        </w:tc>
        <w:tc>
          <w:tcPr>
            <w:tcW w:w="957" w:type="dxa"/>
            <w:vAlign w:val="center"/>
          </w:tcPr>
          <w:p w:rsidR="00671997" w:rsidRDefault="00671997" w:rsidP="00D5619E">
            <w:pPr>
              <w:jc w:val="center"/>
            </w:pPr>
            <w:r>
              <w:t>43,18</w:t>
            </w:r>
          </w:p>
        </w:tc>
        <w:tc>
          <w:tcPr>
            <w:tcW w:w="1180" w:type="dxa"/>
            <w:vAlign w:val="center"/>
          </w:tcPr>
          <w:p w:rsidR="00671997" w:rsidRDefault="00671997" w:rsidP="00D5619E">
            <w:pPr>
              <w:jc w:val="center"/>
            </w:pPr>
            <w:r>
              <w:t>-18,66</w:t>
            </w:r>
          </w:p>
        </w:tc>
        <w:tc>
          <w:tcPr>
            <w:tcW w:w="735" w:type="dxa"/>
            <w:vAlign w:val="center"/>
          </w:tcPr>
          <w:p w:rsidR="00671997" w:rsidRDefault="00671997" w:rsidP="00D5619E">
            <w:pPr>
              <w:jc w:val="center"/>
            </w:pPr>
            <w:r>
              <w:t>0</w:t>
            </w:r>
          </w:p>
        </w:tc>
        <w:tc>
          <w:tcPr>
            <w:tcW w:w="776" w:type="dxa"/>
            <w:vAlign w:val="center"/>
          </w:tcPr>
          <w:p w:rsidR="00671997" w:rsidRDefault="00671997" w:rsidP="00D5619E">
            <w:pPr>
              <w:jc w:val="center"/>
            </w:pPr>
            <w:r>
              <w:t>-3,1</w:t>
            </w:r>
          </w:p>
        </w:tc>
        <w:tc>
          <w:tcPr>
            <w:tcW w:w="721" w:type="dxa"/>
            <w:vAlign w:val="center"/>
          </w:tcPr>
          <w:p w:rsidR="00671997" w:rsidRDefault="00671997" w:rsidP="00D5619E">
            <w:pPr>
              <w:jc w:val="center"/>
            </w:pPr>
            <w:r>
              <w:t>0</w:t>
            </w:r>
          </w:p>
        </w:tc>
      </w:tr>
      <w:tr w:rsidR="00671997" w:rsidTr="00D5619E">
        <w:trPr>
          <w:trHeight w:val="269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 xml:space="preserve">2) Manuel + automatique (focus on </w:t>
            </w:r>
            <w:proofErr w:type="spellStart"/>
            <w:r w:rsidRPr="00AC53E1">
              <w:rPr>
                <w:b/>
              </w:rPr>
              <w:t>bone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5660" w:type="dxa"/>
            <w:gridSpan w:val="6"/>
            <w:vAlign w:val="center"/>
          </w:tcPr>
          <w:p w:rsidR="00671997" w:rsidRPr="00890729" w:rsidRDefault="00671997" w:rsidP="00D5619E">
            <w:pPr>
              <w:jc w:val="center"/>
              <w:rPr>
                <w:i/>
              </w:rPr>
            </w:pPr>
            <w:r w:rsidRPr="00890729">
              <w:rPr>
                <w:i/>
              </w:rPr>
              <w:t>CT1 hors-champ</w:t>
            </w:r>
          </w:p>
        </w:tc>
      </w:tr>
      <w:tr w:rsidR="00671997" w:rsidTr="00D5619E">
        <w:trPr>
          <w:trHeight w:val="408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3) Manuel + automatique (</w:t>
            </w:r>
            <w:proofErr w:type="spellStart"/>
            <w:r w:rsidRPr="00AC53E1">
              <w:rPr>
                <w:b/>
              </w:rPr>
              <w:t>initialize</w:t>
            </w:r>
            <w:proofErr w:type="spellEnd"/>
            <w:r w:rsidRPr="00AC53E1">
              <w:rPr>
                <w:b/>
              </w:rPr>
              <w:t xml:space="preserve"> + focus on </w:t>
            </w:r>
            <w:proofErr w:type="spellStart"/>
            <w:r w:rsidRPr="00AC53E1">
              <w:rPr>
                <w:b/>
              </w:rPr>
              <w:t>bone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1289" w:type="dxa"/>
            <w:vAlign w:val="center"/>
          </w:tcPr>
          <w:p w:rsidR="00671997" w:rsidRDefault="00671997" w:rsidP="00D5619E">
            <w:pPr>
              <w:jc w:val="center"/>
            </w:pPr>
            <w:r>
              <w:t>4,57</w:t>
            </w:r>
          </w:p>
        </w:tc>
        <w:tc>
          <w:tcPr>
            <w:tcW w:w="957" w:type="dxa"/>
            <w:vAlign w:val="center"/>
          </w:tcPr>
          <w:p w:rsidR="00671997" w:rsidRDefault="00671997" w:rsidP="00D5619E">
            <w:pPr>
              <w:jc w:val="center"/>
            </w:pPr>
            <w:r>
              <w:t>42,86</w:t>
            </w:r>
          </w:p>
        </w:tc>
        <w:tc>
          <w:tcPr>
            <w:tcW w:w="1180" w:type="dxa"/>
            <w:vAlign w:val="center"/>
          </w:tcPr>
          <w:p w:rsidR="00671997" w:rsidRDefault="00671997" w:rsidP="00D5619E">
            <w:pPr>
              <w:jc w:val="center"/>
            </w:pPr>
            <w:r>
              <w:t>-18,91</w:t>
            </w:r>
          </w:p>
        </w:tc>
        <w:tc>
          <w:tcPr>
            <w:tcW w:w="735" w:type="dxa"/>
            <w:vAlign w:val="center"/>
          </w:tcPr>
          <w:p w:rsidR="00671997" w:rsidRDefault="00671997" w:rsidP="00D5619E">
            <w:pPr>
              <w:jc w:val="center"/>
            </w:pPr>
            <w:r>
              <w:t>-0,7</w:t>
            </w:r>
          </w:p>
        </w:tc>
        <w:tc>
          <w:tcPr>
            <w:tcW w:w="776" w:type="dxa"/>
            <w:vAlign w:val="center"/>
          </w:tcPr>
          <w:p w:rsidR="00671997" w:rsidRDefault="00671997" w:rsidP="00D5619E">
            <w:pPr>
              <w:jc w:val="center"/>
            </w:pPr>
            <w:r>
              <w:t>-2,7</w:t>
            </w:r>
          </w:p>
        </w:tc>
        <w:tc>
          <w:tcPr>
            <w:tcW w:w="721" w:type="dxa"/>
            <w:vAlign w:val="center"/>
          </w:tcPr>
          <w:p w:rsidR="00671997" w:rsidRDefault="00671997" w:rsidP="00D5619E">
            <w:pPr>
              <w:jc w:val="center"/>
            </w:pPr>
            <w:r>
              <w:t>-4,2</w:t>
            </w:r>
          </w:p>
        </w:tc>
      </w:tr>
      <w:tr w:rsidR="00671997" w:rsidTr="00D5619E">
        <w:trPr>
          <w:trHeight w:val="277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4) Manuel + automatique (</w:t>
            </w:r>
            <w:proofErr w:type="spellStart"/>
            <w:r w:rsidRPr="00AC53E1">
              <w:rPr>
                <w:b/>
              </w:rPr>
              <w:t>initialize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1289" w:type="dxa"/>
            <w:vAlign w:val="center"/>
          </w:tcPr>
          <w:p w:rsidR="00671997" w:rsidRDefault="00671997" w:rsidP="00D5619E">
            <w:pPr>
              <w:jc w:val="center"/>
            </w:pPr>
            <w:r>
              <w:t>4,81</w:t>
            </w:r>
          </w:p>
        </w:tc>
        <w:tc>
          <w:tcPr>
            <w:tcW w:w="957" w:type="dxa"/>
            <w:vAlign w:val="center"/>
          </w:tcPr>
          <w:p w:rsidR="00671997" w:rsidRDefault="00671997" w:rsidP="00D5619E">
            <w:pPr>
              <w:jc w:val="center"/>
            </w:pPr>
            <w:r>
              <w:t>42,8</w:t>
            </w:r>
          </w:p>
        </w:tc>
        <w:tc>
          <w:tcPr>
            <w:tcW w:w="1180" w:type="dxa"/>
            <w:vAlign w:val="center"/>
          </w:tcPr>
          <w:p w:rsidR="00671997" w:rsidRDefault="00671997" w:rsidP="00D5619E">
            <w:pPr>
              <w:jc w:val="center"/>
            </w:pPr>
            <w:r>
              <w:t>-19,71</w:t>
            </w:r>
          </w:p>
        </w:tc>
        <w:tc>
          <w:tcPr>
            <w:tcW w:w="735" w:type="dxa"/>
            <w:vAlign w:val="center"/>
          </w:tcPr>
          <w:p w:rsidR="00671997" w:rsidRDefault="00671997" w:rsidP="00D5619E">
            <w:pPr>
              <w:jc w:val="center"/>
            </w:pPr>
            <w:r>
              <w:t>-1,8</w:t>
            </w:r>
          </w:p>
        </w:tc>
        <w:tc>
          <w:tcPr>
            <w:tcW w:w="776" w:type="dxa"/>
            <w:vAlign w:val="center"/>
          </w:tcPr>
          <w:p w:rsidR="00671997" w:rsidRDefault="00671997" w:rsidP="00D5619E">
            <w:pPr>
              <w:jc w:val="center"/>
            </w:pPr>
            <w:r>
              <w:t>-3,5</w:t>
            </w:r>
          </w:p>
        </w:tc>
        <w:tc>
          <w:tcPr>
            <w:tcW w:w="721" w:type="dxa"/>
            <w:vAlign w:val="center"/>
          </w:tcPr>
          <w:p w:rsidR="00671997" w:rsidRDefault="00671997" w:rsidP="00D5619E">
            <w:pPr>
              <w:jc w:val="center"/>
            </w:pPr>
            <w:r>
              <w:t>-4,3</w:t>
            </w:r>
          </w:p>
        </w:tc>
      </w:tr>
      <w:tr w:rsidR="00671997" w:rsidTr="00D5619E">
        <w:trPr>
          <w:trHeight w:val="130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5) Manuel + automatique</w:t>
            </w:r>
          </w:p>
        </w:tc>
        <w:tc>
          <w:tcPr>
            <w:tcW w:w="5660" w:type="dxa"/>
            <w:gridSpan w:val="6"/>
            <w:vAlign w:val="center"/>
          </w:tcPr>
          <w:p w:rsidR="00671997" w:rsidRPr="00890729" w:rsidRDefault="00671997" w:rsidP="00D5619E">
            <w:pPr>
              <w:jc w:val="center"/>
              <w:rPr>
                <w:i/>
              </w:rPr>
            </w:pPr>
            <w:r w:rsidRPr="00890729">
              <w:rPr>
                <w:i/>
              </w:rPr>
              <w:t>CT1 hors-champ</w:t>
            </w:r>
          </w:p>
        </w:tc>
      </w:tr>
      <w:tr w:rsidR="00671997" w:rsidTr="00D5619E">
        <w:trPr>
          <w:trHeight w:val="269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 xml:space="preserve">6) Automatique (focus on </w:t>
            </w:r>
            <w:proofErr w:type="spellStart"/>
            <w:r w:rsidRPr="00AC53E1">
              <w:rPr>
                <w:b/>
              </w:rPr>
              <w:t>bone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5660" w:type="dxa"/>
            <w:gridSpan w:val="6"/>
            <w:vAlign w:val="center"/>
          </w:tcPr>
          <w:p w:rsidR="00671997" w:rsidRPr="00890729" w:rsidRDefault="00671997" w:rsidP="00D5619E">
            <w:pPr>
              <w:jc w:val="center"/>
              <w:rPr>
                <w:i/>
              </w:rPr>
            </w:pPr>
            <w:r w:rsidRPr="00890729">
              <w:rPr>
                <w:i/>
              </w:rPr>
              <w:t>CT1 hors-champ + à l’envers</w:t>
            </w:r>
          </w:p>
        </w:tc>
      </w:tr>
      <w:tr w:rsidR="00671997" w:rsidTr="00D5619E">
        <w:trPr>
          <w:trHeight w:val="269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7) Automatique (</w:t>
            </w:r>
            <w:proofErr w:type="spellStart"/>
            <w:r w:rsidRPr="00AC53E1">
              <w:rPr>
                <w:b/>
              </w:rPr>
              <w:t>initialize</w:t>
            </w:r>
            <w:proofErr w:type="spellEnd"/>
            <w:r w:rsidRPr="00AC53E1">
              <w:rPr>
                <w:b/>
              </w:rPr>
              <w:t xml:space="preserve"> + focus on </w:t>
            </w:r>
            <w:proofErr w:type="spellStart"/>
            <w:r w:rsidRPr="00AC53E1">
              <w:rPr>
                <w:b/>
              </w:rPr>
              <w:t>bone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1289" w:type="dxa"/>
            <w:vAlign w:val="center"/>
          </w:tcPr>
          <w:p w:rsidR="00671997" w:rsidRDefault="00671997" w:rsidP="00D5619E">
            <w:pPr>
              <w:jc w:val="center"/>
            </w:pPr>
            <w:r>
              <w:t>4,57</w:t>
            </w:r>
          </w:p>
        </w:tc>
        <w:tc>
          <w:tcPr>
            <w:tcW w:w="957" w:type="dxa"/>
            <w:vAlign w:val="center"/>
          </w:tcPr>
          <w:p w:rsidR="00671997" w:rsidRDefault="00671997" w:rsidP="00D5619E">
            <w:pPr>
              <w:jc w:val="center"/>
            </w:pPr>
            <w:r>
              <w:t>42,86</w:t>
            </w:r>
          </w:p>
        </w:tc>
        <w:tc>
          <w:tcPr>
            <w:tcW w:w="1180" w:type="dxa"/>
            <w:vAlign w:val="center"/>
          </w:tcPr>
          <w:p w:rsidR="00671997" w:rsidRDefault="00671997" w:rsidP="00D5619E">
            <w:pPr>
              <w:jc w:val="center"/>
            </w:pPr>
            <w:r>
              <w:t>-18,91</w:t>
            </w:r>
          </w:p>
        </w:tc>
        <w:tc>
          <w:tcPr>
            <w:tcW w:w="735" w:type="dxa"/>
            <w:vAlign w:val="center"/>
          </w:tcPr>
          <w:p w:rsidR="00671997" w:rsidRDefault="00671997" w:rsidP="00D5619E">
            <w:pPr>
              <w:jc w:val="center"/>
            </w:pPr>
            <w:r>
              <w:t>-0,7</w:t>
            </w:r>
          </w:p>
        </w:tc>
        <w:tc>
          <w:tcPr>
            <w:tcW w:w="776" w:type="dxa"/>
            <w:vAlign w:val="center"/>
          </w:tcPr>
          <w:p w:rsidR="00671997" w:rsidRDefault="00671997" w:rsidP="00D5619E">
            <w:pPr>
              <w:jc w:val="center"/>
            </w:pPr>
            <w:r>
              <w:t>-2,7</w:t>
            </w:r>
          </w:p>
        </w:tc>
        <w:tc>
          <w:tcPr>
            <w:tcW w:w="721" w:type="dxa"/>
            <w:vAlign w:val="center"/>
          </w:tcPr>
          <w:p w:rsidR="00671997" w:rsidRDefault="00671997" w:rsidP="00D5619E">
            <w:pPr>
              <w:jc w:val="center"/>
            </w:pPr>
            <w:r>
              <w:t>-4,2</w:t>
            </w:r>
          </w:p>
        </w:tc>
      </w:tr>
      <w:tr w:rsidR="00671997" w:rsidTr="00D5619E">
        <w:trPr>
          <w:trHeight w:val="138"/>
          <w:jc w:val="center"/>
        </w:trPr>
        <w:tc>
          <w:tcPr>
            <w:tcW w:w="5000" w:type="dxa"/>
            <w:vAlign w:val="center"/>
          </w:tcPr>
          <w:p w:rsidR="00671997" w:rsidRPr="00AC53E1" w:rsidRDefault="00671997" w:rsidP="00D5619E">
            <w:pPr>
              <w:jc w:val="center"/>
              <w:rPr>
                <w:b/>
              </w:rPr>
            </w:pPr>
            <w:r w:rsidRPr="00AC53E1">
              <w:rPr>
                <w:b/>
              </w:rPr>
              <w:t>8) Automatique (</w:t>
            </w:r>
            <w:proofErr w:type="spellStart"/>
            <w:r w:rsidRPr="00AC53E1">
              <w:rPr>
                <w:b/>
              </w:rPr>
              <w:t>initialize</w:t>
            </w:r>
            <w:proofErr w:type="spellEnd"/>
            <w:r w:rsidRPr="00AC53E1">
              <w:rPr>
                <w:b/>
              </w:rPr>
              <w:t>)</w:t>
            </w:r>
          </w:p>
        </w:tc>
        <w:tc>
          <w:tcPr>
            <w:tcW w:w="1289" w:type="dxa"/>
            <w:vAlign w:val="center"/>
          </w:tcPr>
          <w:p w:rsidR="00671997" w:rsidRDefault="00671997" w:rsidP="00D5619E">
            <w:pPr>
              <w:jc w:val="center"/>
            </w:pPr>
            <w:r>
              <w:t>4,81</w:t>
            </w:r>
          </w:p>
        </w:tc>
        <w:tc>
          <w:tcPr>
            <w:tcW w:w="957" w:type="dxa"/>
            <w:vAlign w:val="center"/>
          </w:tcPr>
          <w:p w:rsidR="00671997" w:rsidRDefault="00671997" w:rsidP="00D5619E">
            <w:pPr>
              <w:jc w:val="center"/>
            </w:pPr>
            <w:r>
              <w:t>42,8</w:t>
            </w:r>
          </w:p>
        </w:tc>
        <w:tc>
          <w:tcPr>
            <w:tcW w:w="1180" w:type="dxa"/>
            <w:vAlign w:val="center"/>
          </w:tcPr>
          <w:p w:rsidR="00671997" w:rsidRDefault="00671997" w:rsidP="00D5619E">
            <w:pPr>
              <w:jc w:val="center"/>
            </w:pPr>
            <w:r>
              <w:t>-19,71</w:t>
            </w:r>
          </w:p>
        </w:tc>
        <w:tc>
          <w:tcPr>
            <w:tcW w:w="735" w:type="dxa"/>
            <w:vAlign w:val="center"/>
          </w:tcPr>
          <w:p w:rsidR="00671997" w:rsidRDefault="00671997" w:rsidP="00D5619E">
            <w:pPr>
              <w:jc w:val="center"/>
            </w:pPr>
            <w:r>
              <w:t>-1,8</w:t>
            </w:r>
          </w:p>
        </w:tc>
        <w:tc>
          <w:tcPr>
            <w:tcW w:w="776" w:type="dxa"/>
            <w:vAlign w:val="center"/>
          </w:tcPr>
          <w:p w:rsidR="00671997" w:rsidRDefault="00671997" w:rsidP="00D5619E">
            <w:pPr>
              <w:jc w:val="center"/>
            </w:pPr>
            <w:r>
              <w:t>-3,5</w:t>
            </w:r>
          </w:p>
        </w:tc>
        <w:tc>
          <w:tcPr>
            <w:tcW w:w="721" w:type="dxa"/>
            <w:vAlign w:val="center"/>
          </w:tcPr>
          <w:p w:rsidR="00671997" w:rsidRDefault="00671997" w:rsidP="00D5619E">
            <w:pPr>
              <w:jc w:val="center"/>
            </w:pPr>
            <w:r>
              <w:t>-4,3</w:t>
            </w:r>
          </w:p>
        </w:tc>
      </w:tr>
    </w:tbl>
    <w:p w:rsidR="00671997" w:rsidRDefault="00671997"/>
    <w:p w:rsidR="00671997" w:rsidRPr="005B71FA" w:rsidRDefault="00671997" w:rsidP="00671997">
      <w:r w:rsidRPr="005B71FA">
        <w:t>Ce tableau confirme que lorsque l’option « </w:t>
      </w:r>
      <w:proofErr w:type="spellStart"/>
      <w:r w:rsidRPr="005B71FA">
        <w:t>initialize</w:t>
      </w:r>
      <w:proofErr w:type="spellEnd"/>
      <w:r w:rsidRPr="005B71FA">
        <w:t xml:space="preserve"> </w:t>
      </w:r>
      <w:proofErr w:type="spellStart"/>
      <w:r w:rsidRPr="005B71FA">
        <w:t>automatically</w:t>
      </w:r>
      <w:proofErr w:type="spellEnd"/>
      <w:r w:rsidRPr="005B71FA">
        <w:t xml:space="preserve"> » est cochée, l’algorithme ne prend pas en compte le recalage manuel effectué auparavant (recalages 3-7 et 4-8 identiques). </w:t>
      </w:r>
    </w:p>
    <w:p w:rsidR="00671997" w:rsidRDefault="00671997"/>
    <w:sectPr w:rsidR="0067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43"/>
    <w:rsid w:val="00356D4E"/>
    <w:rsid w:val="00671997"/>
    <w:rsid w:val="00842A43"/>
    <w:rsid w:val="00E5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1993"/>
  <w15:chartTrackingRefBased/>
  <w15:docId w15:val="{8E77F214-E98C-4ACE-8D78-2F2EA4FA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97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671997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table" w:styleId="Grilledutableau">
    <w:name w:val="Table Grid"/>
    <w:basedOn w:val="TableauNormal"/>
    <w:uiPriority w:val="39"/>
    <w:rsid w:val="0067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Company>ICO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3</cp:revision>
  <dcterms:created xsi:type="dcterms:W3CDTF">2023-04-20T07:35:00Z</dcterms:created>
  <dcterms:modified xsi:type="dcterms:W3CDTF">2023-04-20T07:40:00Z</dcterms:modified>
</cp:coreProperties>
</file>